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CD" w:rsidRDefault="007B20CD" w:rsidP="007B20CD">
      <w:bookmarkStart w:id="0" w:name="_GoBack"/>
      <w:bookmarkEnd w:id="0"/>
    </w:p>
    <w:p w:rsidR="00514C71" w:rsidRDefault="00514C71" w:rsidP="007B20CD"/>
    <w:p w:rsidR="00514C71" w:rsidRDefault="00514C71" w:rsidP="007B20CD"/>
    <w:p w:rsidR="00514C71" w:rsidRDefault="00514C71" w:rsidP="007B20CD"/>
    <w:p w:rsidR="00514C71" w:rsidRDefault="00514C71" w:rsidP="007B20CD"/>
    <w:p w:rsidR="00514C71" w:rsidRDefault="00514C71" w:rsidP="007B20CD"/>
    <w:p w:rsidR="007B20CD" w:rsidRDefault="007B20CD" w:rsidP="007B20CD">
      <w:pPr>
        <w:jc w:val="center"/>
        <w:rPr>
          <w:b/>
          <w:sz w:val="36"/>
          <w:szCs w:val="36"/>
        </w:rPr>
      </w:pPr>
      <w:r>
        <w:rPr>
          <w:noProof/>
          <w:lang w:eastAsia="en-GB"/>
        </w:rPr>
        <w:drawing>
          <wp:inline distT="0" distB="0" distL="0" distR="0">
            <wp:extent cx="1371600" cy="1485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71600" cy="1485900"/>
                    </a:xfrm>
                    <a:prstGeom prst="rect">
                      <a:avLst/>
                    </a:prstGeom>
                    <a:noFill/>
                    <a:ln w="9525">
                      <a:noFill/>
                      <a:miter lim="800000"/>
                      <a:headEnd/>
                      <a:tailEnd/>
                    </a:ln>
                  </pic:spPr>
                </pic:pic>
              </a:graphicData>
            </a:graphic>
          </wp:inline>
        </w:drawing>
      </w:r>
    </w:p>
    <w:p w:rsidR="007B20CD" w:rsidRDefault="007B20CD" w:rsidP="007B20CD">
      <w:pPr>
        <w:jc w:val="center"/>
        <w:rPr>
          <w:b/>
          <w:sz w:val="36"/>
          <w:szCs w:val="36"/>
        </w:rPr>
      </w:pPr>
    </w:p>
    <w:p w:rsidR="007B20CD" w:rsidRDefault="007B20CD" w:rsidP="007B20CD">
      <w:pPr>
        <w:jc w:val="center"/>
      </w:pPr>
    </w:p>
    <w:p w:rsidR="00514C71" w:rsidRPr="00314858" w:rsidRDefault="00514C71" w:rsidP="007B20CD">
      <w:pPr>
        <w:jc w:val="center"/>
      </w:pPr>
    </w:p>
    <w:p w:rsidR="00514C71" w:rsidRDefault="00514C71" w:rsidP="007B20CD">
      <w:pPr>
        <w:jc w:val="center"/>
        <w:rPr>
          <w:sz w:val="32"/>
          <w:szCs w:val="32"/>
        </w:rPr>
      </w:pPr>
    </w:p>
    <w:p w:rsidR="007B20CD" w:rsidRDefault="007B20CD" w:rsidP="007B20CD">
      <w:pPr>
        <w:jc w:val="center"/>
        <w:rPr>
          <w:sz w:val="32"/>
          <w:szCs w:val="32"/>
        </w:rPr>
      </w:pPr>
      <w:r w:rsidRPr="00314858">
        <w:rPr>
          <w:sz w:val="32"/>
          <w:szCs w:val="32"/>
        </w:rPr>
        <w:t>Domestic Homicide Review Overview Report:</w:t>
      </w:r>
    </w:p>
    <w:p w:rsidR="00514C71" w:rsidRDefault="00514C71" w:rsidP="007B20CD">
      <w:pPr>
        <w:jc w:val="center"/>
        <w:rPr>
          <w:sz w:val="32"/>
          <w:szCs w:val="32"/>
        </w:rPr>
      </w:pPr>
    </w:p>
    <w:p w:rsidR="00514C71" w:rsidRPr="00314858" w:rsidRDefault="00514C71" w:rsidP="007B20CD">
      <w:pPr>
        <w:jc w:val="center"/>
        <w:rPr>
          <w:sz w:val="32"/>
          <w:szCs w:val="32"/>
        </w:rPr>
      </w:pPr>
      <w:r>
        <w:rPr>
          <w:sz w:val="32"/>
          <w:szCs w:val="32"/>
        </w:rPr>
        <w:t>EXECUTIVE SUMMARY</w:t>
      </w:r>
    </w:p>
    <w:p w:rsidR="007B20CD" w:rsidRPr="00314858" w:rsidRDefault="007B20CD" w:rsidP="007B20CD">
      <w:pPr>
        <w:jc w:val="both"/>
      </w:pPr>
    </w:p>
    <w:p w:rsidR="007B20CD" w:rsidRPr="00314858" w:rsidRDefault="007B20CD" w:rsidP="007B20CD">
      <w:pPr>
        <w:jc w:val="both"/>
      </w:pPr>
    </w:p>
    <w:p w:rsidR="007B20CD" w:rsidRPr="00314858" w:rsidRDefault="007B20CD" w:rsidP="007B20CD">
      <w:pPr>
        <w:jc w:val="center"/>
        <w:rPr>
          <w:sz w:val="32"/>
          <w:szCs w:val="32"/>
          <w:u w:val="single"/>
        </w:rPr>
      </w:pPr>
      <w:r>
        <w:rPr>
          <w:sz w:val="32"/>
          <w:szCs w:val="32"/>
          <w:u w:val="single"/>
        </w:rPr>
        <w:t>Adult</w:t>
      </w:r>
      <w:r w:rsidRPr="00314858">
        <w:rPr>
          <w:sz w:val="32"/>
          <w:szCs w:val="32"/>
          <w:u w:val="single"/>
        </w:rPr>
        <w:t xml:space="preserve"> Z</w:t>
      </w:r>
    </w:p>
    <w:p w:rsidR="007B20CD" w:rsidRDefault="007B20CD" w:rsidP="007B20CD">
      <w:pPr>
        <w:jc w:val="center"/>
        <w:rPr>
          <w:sz w:val="32"/>
          <w:szCs w:val="32"/>
        </w:rPr>
      </w:pPr>
    </w:p>
    <w:p w:rsidR="00514C71" w:rsidRDefault="00514C71" w:rsidP="007B20CD">
      <w:pPr>
        <w:jc w:val="center"/>
        <w:rPr>
          <w:sz w:val="32"/>
          <w:szCs w:val="32"/>
        </w:rPr>
      </w:pPr>
    </w:p>
    <w:p w:rsidR="007B20CD" w:rsidRDefault="007B20CD" w:rsidP="007B20CD">
      <w:pPr>
        <w:jc w:val="center"/>
        <w:rPr>
          <w:sz w:val="32"/>
          <w:szCs w:val="32"/>
        </w:rPr>
      </w:pPr>
      <w:r>
        <w:rPr>
          <w:sz w:val="32"/>
          <w:szCs w:val="32"/>
        </w:rPr>
        <w:t>Born: July 17, 1955</w:t>
      </w:r>
    </w:p>
    <w:p w:rsidR="007B20CD" w:rsidRPr="00314858" w:rsidRDefault="007B20CD" w:rsidP="007B20CD">
      <w:pPr>
        <w:jc w:val="center"/>
        <w:rPr>
          <w:sz w:val="32"/>
          <w:szCs w:val="32"/>
        </w:rPr>
      </w:pPr>
      <w:r>
        <w:rPr>
          <w:sz w:val="32"/>
          <w:szCs w:val="32"/>
        </w:rPr>
        <w:t>Died:</w:t>
      </w:r>
      <w:r w:rsidRPr="00314858">
        <w:rPr>
          <w:sz w:val="32"/>
          <w:szCs w:val="32"/>
        </w:rPr>
        <w:t xml:space="preserve"> December 31, 2011</w:t>
      </w:r>
    </w:p>
    <w:p w:rsidR="007B20CD" w:rsidRPr="00314858" w:rsidRDefault="007B20CD" w:rsidP="007B20CD">
      <w:pPr>
        <w:jc w:val="center"/>
      </w:pPr>
    </w:p>
    <w:p w:rsidR="007B20CD" w:rsidRPr="00314858" w:rsidRDefault="007B20CD" w:rsidP="007B20CD">
      <w:pPr>
        <w:jc w:val="center"/>
      </w:pPr>
    </w:p>
    <w:p w:rsidR="007B20CD" w:rsidRDefault="007B20CD" w:rsidP="007B20CD">
      <w:pPr>
        <w:jc w:val="center"/>
      </w:pPr>
    </w:p>
    <w:p w:rsidR="00514C71" w:rsidRDefault="00514C71" w:rsidP="007B20CD">
      <w:pPr>
        <w:jc w:val="center"/>
      </w:pPr>
    </w:p>
    <w:p w:rsidR="00514C71" w:rsidRDefault="00514C71" w:rsidP="007B20CD">
      <w:pPr>
        <w:jc w:val="center"/>
      </w:pPr>
    </w:p>
    <w:p w:rsidR="00514C71" w:rsidRDefault="00514C71" w:rsidP="007B20CD">
      <w:pPr>
        <w:jc w:val="center"/>
      </w:pPr>
    </w:p>
    <w:p w:rsidR="00514C71" w:rsidRDefault="00514C71" w:rsidP="007B20CD">
      <w:pPr>
        <w:jc w:val="center"/>
      </w:pPr>
    </w:p>
    <w:p w:rsidR="00514C71" w:rsidRDefault="00514C71" w:rsidP="007B20CD">
      <w:pPr>
        <w:jc w:val="center"/>
      </w:pPr>
    </w:p>
    <w:p w:rsidR="00514C71" w:rsidRDefault="00514C71" w:rsidP="007B20CD">
      <w:pPr>
        <w:jc w:val="center"/>
      </w:pPr>
    </w:p>
    <w:p w:rsidR="00514C71" w:rsidRPr="00314858" w:rsidRDefault="00514C71" w:rsidP="007B20CD">
      <w:pPr>
        <w:jc w:val="center"/>
      </w:pPr>
    </w:p>
    <w:p w:rsidR="007B20CD" w:rsidRDefault="007B20CD" w:rsidP="007B20CD">
      <w:pPr>
        <w:jc w:val="center"/>
      </w:pPr>
    </w:p>
    <w:p w:rsidR="007B20CD" w:rsidRPr="00314858" w:rsidRDefault="007B20CD" w:rsidP="007B20CD">
      <w:pPr>
        <w:jc w:val="center"/>
      </w:pPr>
    </w:p>
    <w:p w:rsidR="007B20CD" w:rsidRPr="00314858" w:rsidRDefault="007B20CD" w:rsidP="007B20CD">
      <w:pPr>
        <w:jc w:val="center"/>
      </w:pPr>
      <w:r w:rsidRPr="00314858">
        <w:t xml:space="preserve">Tony </w:t>
      </w:r>
      <w:proofErr w:type="spellStart"/>
      <w:r w:rsidRPr="00314858">
        <w:t>Blockley</w:t>
      </w:r>
      <w:proofErr w:type="spellEnd"/>
    </w:p>
    <w:p w:rsidR="007B20CD" w:rsidRPr="00314858" w:rsidRDefault="007B20CD" w:rsidP="007B20CD">
      <w:pPr>
        <w:jc w:val="center"/>
      </w:pPr>
      <w:r w:rsidRPr="00314858">
        <w:t xml:space="preserve">Director: Johnston and </w:t>
      </w:r>
      <w:proofErr w:type="spellStart"/>
      <w:r w:rsidRPr="00314858">
        <w:t>Blockley</w:t>
      </w:r>
      <w:proofErr w:type="spellEnd"/>
      <w:r w:rsidRPr="00314858">
        <w:t xml:space="preserve"> Ltd</w:t>
      </w:r>
    </w:p>
    <w:p w:rsidR="007B20CD" w:rsidRPr="008F4935" w:rsidRDefault="007B20CD" w:rsidP="007B20CD">
      <w:pPr>
        <w:jc w:val="center"/>
        <w:rPr>
          <w:rFonts w:ascii="Comic Sans MS" w:hAnsi="Comic Sans MS"/>
        </w:rPr>
      </w:pPr>
    </w:p>
    <w:p w:rsidR="007B20CD" w:rsidRPr="009F6EDC" w:rsidRDefault="00514C71" w:rsidP="007B20CD">
      <w:pPr>
        <w:jc w:val="center"/>
        <w:rPr>
          <w:rFonts w:ascii="Comic Sans MS" w:hAnsi="Comic Sans MS"/>
        </w:rPr>
      </w:pPr>
      <w:r>
        <w:rPr>
          <w:rFonts w:ascii="Comic Sans MS" w:hAnsi="Comic Sans MS"/>
        </w:rPr>
        <w:t>November 15</w:t>
      </w:r>
      <w:r w:rsidR="007B20CD" w:rsidRPr="009F6EDC">
        <w:rPr>
          <w:rFonts w:ascii="Comic Sans MS" w:hAnsi="Comic Sans MS"/>
        </w:rPr>
        <w:t>, 2013</w:t>
      </w:r>
    </w:p>
    <w:p w:rsidR="007B20CD" w:rsidRDefault="007B20CD" w:rsidP="007B20CD"/>
    <w:p w:rsidR="007B20CD" w:rsidRDefault="007B20CD" w:rsidP="001E321F">
      <w:pPr>
        <w:widowControl/>
        <w:jc w:val="center"/>
        <w:rPr>
          <w:rFonts w:ascii="FranklinGothic-Demi" w:hAnsi="FranklinGothic-Demi" w:cs="FranklinGothic-Demi"/>
          <w:b/>
          <w:color w:val="000000"/>
          <w:sz w:val="24"/>
          <w:szCs w:val="24"/>
          <w:lang w:eastAsia="en-GB"/>
        </w:rPr>
      </w:pPr>
    </w:p>
    <w:p w:rsidR="007B20CD" w:rsidRDefault="007B20CD" w:rsidP="001E321F">
      <w:pPr>
        <w:widowControl/>
        <w:jc w:val="center"/>
        <w:rPr>
          <w:rFonts w:ascii="FranklinGothic-Demi" w:hAnsi="FranklinGothic-Demi" w:cs="FranklinGothic-Demi"/>
          <w:b/>
          <w:color w:val="000000"/>
          <w:sz w:val="24"/>
          <w:szCs w:val="24"/>
          <w:lang w:eastAsia="en-GB"/>
        </w:rPr>
      </w:pPr>
    </w:p>
    <w:p w:rsidR="007B20CD" w:rsidRDefault="007B20CD" w:rsidP="001E321F">
      <w:pPr>
        <w:widowControl/>
        <w:jc w:val="center"/>
        <w:rPr>
          <w:rFonts w:ascii="FranklinGothic-Demi" w:hAnsi="FranklinGothic-Demi" w:cs="FranklinGothic-Demi"/>
          <w:b/>
          <w:color w:val="000000"/>
          <w:sz w:val="24"/>
          <w:szCs w:val="24"/>
          <w:lang w:eastAsia="en-GB"/>
        </w:rPr>
      </w:pPr>
    </w:p>
    <w:p w:rsidR="007B20CD" w:rsidRDefault="007B20CD" w:rsidP="001E321F">
      <w:pPr>
        <w:widowControl/>
        <w:jc w:val="center"/>
        <w:rPr>
          <w:rFonts w:ascii="FranklinGothic-Demi" w:hAnsi="FranklinGothic-Demi" w:cs="FranklinGothic-Demi"/>
          <w:b/>
          <w:color w:val="000000"/>
          <w:sz w:val="24"/>
          <w:szCs w:val="24"/>
          <w:lang w:eastAsia="en-GB"/>
        </w:rPr>
      </w:pPr>
    </w:p>
    <w:p w:rsidR="007B20CD" w:rsidRDefault="007B20CD" w:rsidP="001E321F">
      <w:pPr>
        <w:widowControl/>
        <w:jc w:val="center"/>
        <w:rPr>
          <w:rFonts w:ascii="FranklinGothic-Demi" w:hAnsi="FranklinGothic-Demi" w:cs="FranklinGothic-Demi"/>
          <w:b/>
          <w:color w:val="000000"/>
          <w:sz w:val="24"/>
          <w:szCs w:val="24"/>
          <w:lang w:eastAsia="en-GB"/>
        </w:rPr>
      </w:pPr>
    </w:p>
    <w:p w:rsidR="00D402F3" w:rsidRPr="009C3FBF" w:rsidRDefault="00D402F3" w:rsidP="001E321F">
      <w:pPr>
        <w:widowControl/>
        <w:jc w:val="center"/>
        <w:rPr>
          <w:b/>
          <w:color w:val="000000"/>
          <w:sz w:val="24"/>
          <w:szCs w:val="24"/>
          <w:lang w:eastAsia="en-GB"/>
        </w:rPr>
      </w:pPr>
      <w:r w:rsidRPr="009C3FBF">
        <w:rPr>
          <w:b/>
          <w:color w:val="000000"/>
          <w:sz w:val="24"/>
          <w:szCs w:val="24"/>
          <w:lang w:eastAsia="en-GB"/>
        </w:rPr>
        <w:lastRenderedPageBreak/>
        <w:t xml:space="preserve">Executive Summary </w:t>
      </w:r>
    </w:p>
    <w:p w:rsidR="001E321F" w:rsidRPr="009C3FBF" w:rsidRDefault="001E321F" w:rsidP="00D402F3">
      <w:pPr>
        <w:widowControl/>
        <w:rPr>
          <w:color w:val="000000"/>
          <w:sz w:val="24"/>
          <w:szCs w:val="24"/>
          <w:lang w:eastAsia="en-GB"/>
        </w:rPr>
      </w:pPr>
    </w:p>
    <w:p w:rsidR="001E321F" w:rsidRPr="009C3FBF" w:rsidRDefault="001E321F" w:rsidP="00D402F3">
      <w:pPr>
        <w:widowControl/>
        <w:rPr>
          <w:b/>
          <w:color w:val="000000"/>
          <w:sz w:val="24"/>
          <w:szCs w:val="24"/>
          <w:lang w:eastAsia="en-GB"/>
        </w:rPr>
      </w:pPr>
    </w:p>
    <w:p w:rsidR="001E321F" w:rsidRPr="009C3FBF" w:rsidRDefault="001E321F" w:rsidP="00D402F3">
      <w:pPr>
        <w:widowControl/>
        <w:rPr>
          <w:b/>
          <w:color w:val="000000"/>
          <w:sz w:val="24"/>
          <w:szCs w:val="24"/>
          <w:lang w:eastAsia="en-GB"/>
        </w:rPr>
      </w:pPr>
    </w:p>
    <w:p w:rsidR="00D402F3" w:rsidRPr="009C3FBF" w:rsidRDefault="00D402F3" w:rsidP="00B74E69">
      <w:pPr>
        <w:widowControl/>
        <w:jc w:val="both"/>
        <w:rPr>
          <w:b/>
          <w:color w:val="000000"/>
          <w:sz w:val="24"/>
          <w:szCs w:val="24"/>
          <w:lang w:eastAsia="en-GB"/>
        </w:rPr>
      </w:pPr>
      <w:r w:rsidRPr="009C3FBF">
        <w:rPr>
          <w:b/>
          <w:color w:val="000000"/>
          <w:sz w:val="24"/>
          <w:szCs w:val="24"/>
          <w:lang w:eastAsia="en-GB"/>
        </w:rPr>
        <w:t>1. The review process</w:t>
      </w:r>
    </w:p>
    <w:p w:rsidR="001E321F" w:rsidRPr="009C3FBF" w:rsidRDefault="001E321F" w:rsidP="00B74E69">
      <w:pPr>
        <w:widowControl/>
        <w:jc w:val="both"/>
        <w:rPr>
          <w:color w:val="000000"/>
          <w:sz w:val="24"/>
          <w:szCs w:val="24"/>
          <w:lang w:eastAsia="en-GB"/>
        </w:rPr>
      </w:pPr>
    </w:p>
    <w:p w:rsidR="00641963" w:rsidRPr="009C3FBF" w:rsidRDefault="00D402F3" w:rsidP="00B74E69">
      <w:pPr>
        <w:jc w:val="both"/>
      </w:pPr>
      <w:r w:rsidRPr="009C3FBF">
        <w:rPr>
          <w:color w:val="000000"/>
          <w:sz w:val="24"/>
          <w:szCs w:val="24"/>
          <w:lang w:eastAsia="en-GB"/>
        </w:rPr>
        <w:t xml:space="preserve">This </w:t>
      </w:r>
      <w:r w:rsidR="00514C71" w:rsidRPr="009C3FBF">
        <w:rPr>
          <w:color w:val="000000"/>
          <w:sz w:val="24"/>
          <w:szCs w:val="24"/>
          <w:lang w:eastAsia="en-GB"/>
        </w:rPr>
        <w:t xml:space="preserve">executive </w:t>
      </w:r>
      <w:r w:rsidRPr="009C3FBF">
        <w:rPr>
          <w:color w:val="000000"/>
          <w:sz w:val="24"/>
          <w:szCs w:val="24"/>
          <w:lang w:eastAsia="en-GB"/>
        </w:rPr>
        <w:t xml:space="preserve">summary outlines the process undertaken by </w:t>
      </w:r>
      <w:r w:rsidR="001E321F" w:rsidRPr="009C3FBF">
        <w:rPr>
          <w:color w:val="000000"/>
          <w:sz w:val="24"/>
          <w:szCs w:val="24"/>
          <w:lang w:eastAsia="en-GB"/>
        </w:rPr>
        <w:t>The Safer Rotherham Partnership</w:t>
      </w:r>
      <w:r w:rsidRPr="009C3FBF">
        <w:rPr>
          <w:color w:val="000000"/>
          <w:sz w:val="24"/>
          <w:szCs w:val="24"/>
          <w:lang w:eastAsia="en-GB"/>
        </w:rPr>
        <w:t xml:space="preserve"> domestic homicide review panel</w:t>
      </w:r>
      <w:r w:rsidR="001E321F" w:rsidRPr="009C3FBF">
        <w:rPr>
          <w:color w:val="000000"/>
          <w:sz w:val="24"/>
          <w:szCs w:val="24"/>
          <w:lang w:eastAsia="en-GB"/>
        </w:rPr>
        <w:t xml:space="preserve"> </w:t>
      </w:r>
      <w:r w:rsidRPr="009C3FBF">
        <w:rPr>
          <w:color w:val="000000"/>
          <w:sz w:val="24"/>
          <w:szCs w:val="24"/>
          <w:lang w:eastAsia="en-GB"/>
        </w:rPr>
        <w:t xml:space="preserve">in reviewing the </w:t>
      </w:r>
      <w:r w:rsidR="004C4524" w:rsidRPr="009C3FBF">
        <w:rPr>
          <w:color w:val="000000"/>
          <w:sz w:val="24"/>
          <w:szCs w:val="24"/>
          <w:lang w:eastAsia="en-GB"/>
        </w:rPr>
        <w:t xml:space="preserve">circumstances of the death </w:t>
      </w:r>
      <w:r w:rsidRPr="009C3FBF">
        <w:rPr>
          <w:color w:val="000000"/>
          <w:sz w:val="24"/>
          <w:szCs w:val="24"/>
          <w:lang w:eastAsia="en-GB"/>
        </w:rPr>
        <w:t xml:space="preserve">of </w:t>
      </w:r>
      <w:r w:rsidR="001E321F" w:rsidRPr="009C3FBF">
        <w:rPr>
          <w:color w:val="000000"/>
          <w:sz w:val="24"/>
          <w:szCs w:val="24"/>
          <w:lang w:eastAsia="en-GB"/>
        </w:rPr>
        <w:t>Adult Z</w:t>
      </w:r>
      <w:r w:rsidR="00514C71" w:rsidRPr="009C3FBF">
        <w:rPr>
          <w:color w:val="000000"/>
          <w:sz w:val="24"/>
          <w:szCs w:val="24"/>
          <w:lang w:eastAsia="en-GB"/>
        </w:rPr>
        <w:t xml:space="preserve"> </w:t>
      </w:r>
      <w:r w:rsidR="004C4524" w:rsidRPr="009C3FBF">
        <w:rPr>
          <w:color w:val="000000"/>
          <w:sz w:val="24"/>
          <w:szCs w:val="24"/>
          <w:lang w:eastAsia="en-GB"/>
        </w:rPr>
        <w:t xml:space="preserve">at the hands of </w:t>
      </w:r>
      <w:r w:rsidR="00514C71" w:rsidRPr="009C3FBF">
        <w:rPr>
          <w:color w:val="000000"/>
          <w:sz w:val="24"/>
          <w:szCs w:val="24"/>
          <w:lang w:eastAsia="en-GB"/>
        </w:rPr>
        <w:t>her husband, Adult 1</w:t>
      </w:r>
      <w:r w:rsidRPr="009C3FBF">
        <w:rPr>
          <w:color w:val="000000"/>
          <w:sz w:val="24"/>
          <w:szCs w:val="24"/>
          <w:lang w:eastAsia="en-GB"/>
        </w:rPr>
        <w:t>.</w:t>
      </w:r>
      <w:r w:rsidR="001E321F" w:rsidRPr="009C3FBF">
        <w:rPr>
          <w:color w:val="000000"/>
          <w:sz w:val="24"/>
          <w:szCs w:val="24"/>
          <w:lang w:eastAsia="en-GB"/>
        </w:rPr>
        <w:t xml:space="preserve"> Criminal p</w:t>
      </w:r>
      <w:r w:rsidRPr="009C3FBF">
        <w:rPr>
          <w:color w:val="000000"/>
          <w:sz w:val="24"/>
          <w:szCs w:val="24"/>
          <w:lang w:eastAsia="en-GB"/>
        </w:rPr>
        <w:t>roceedings have been</w:t>
      </w:r>
      <w:r w:rsidR="001E321F" w:rsidRPr="009C3FBF">
        <w:rPr>
          <w:color w:val="000000"/>
          <w:sz w:val="24"/>
          <w:szCs w:val="24"/>
          <w:lang w:eastAsia="en-GB"/>
        </w:rPr>
        <w:t xml:space="preserve"> completed</w:t>
      </w:r>
      <w:r w:rsidR="002E6C5E" w:rsidRPr="009C3FBF">
        <w:rPr>
          <w:color w:val="000000"/>
          <w:sz w:val="24"/>
          <w:szCs w:val="24"/>
          <w:lang w:eastAsia="en-GB"/>
        </w:rPr>
        <w:t>;</w:t>
      </w:r>
      <w:r w:rsidR="001E321F" w:rsidRPr="009C3FBF">
        <w:rPr>
          <w:color w:val="000000"/>
          <w:sz w:val="24"/>
          <w:szCs w:val="24"/>
          <w:lang w:eastAsia="en-GB"/>
        </w:rPr>
        <w:t xml:space="preserve"> </w:t>
      </w:r>
      <w:r w:rsidR="00514C71" w:rsidRPr="009C3FBF">
        <w:rPr>
          <w:color w:val="000000"/>
          <w:sz w:val="24"/>
          <w:szCs w:val="24"/>
          <w:lang w:eastAsia="en-GB"/>
        </w:rPr>
        <w:t>Adult 1</w:t>
      </w:r>
      <w:r w:rsidR="004C4524" w:rsidRPr="009C3FBF">
        <w:rPr>
          <w:color w:val="000000"/>
          <w:sz w:val="24"/>
          <w:szCs w:val="24"/>
          <w:lang w:eastAsia="en-GB"/>
        </w:rPr>
        <w:t xml:space="preserve"> </w:t>
      </w:r>
      <w:r w:rsidR="0069444E" w:rsidRPr="009C3FBF">
        <w:rPr>
          <w:color w:val="000000"/>
          <w:sz w:val="24"/>
          <w:szCs w:val="24"/>
          <w:lang w:eastAsia="en-GB"/>
        </w:rPr>
        <w:t xml:space="preserve">has been </w:t>
      </w:r>
      <w:r w:rsidR="00514C71" w:rsidRPr="009C3FBF">
        <w:rPr>
          <w:color w:val="000000"/>
          <w:sz w:val="24"/>
          <w:szCs w:val="24"/>
          <w:lang w:eastAsia="en-GB"/>
        </w:rPr>
        <w:t xml:space="preserve">convicted of </w:t>
      </w:r>
      <w:r w:rsidR="001E321F" w:rsidRPr="009C3FBF">
        <w:rPr>
          <w:color w:val="000000"/>
          <w:sz w:val="24"/>
          <w:szCs w:val="24"/>
          <w:lang w:eastAsia="en-GB"/>
        </w:rPr>
        <w:t>manslaughter</w:t>
      </w:r>
      <w:r w:rsidR="0069444E" w:rsidRPr="009C3FBF">
        <w:rPr>
          <w:color w:val="000000"/>
          <w:sz w:val="24"/>
          <w:szCs w:val="24"/>
          <w:lang w:eastAsia="en-GB"/>
        </w:rPr>
        <w:t xml:space="preserve"> and </w:t>
      </w:r>
      <w:r w:rsidR="001E321F" w:rsidRPr="009C3FBF">
        <w:rPr>
          <w:color w:val="000000"/>
          <w:sz w:val="24"/>
          <w:szCs w:val="24"/>
          <w:lang w:eastAsia="en-GB"/>
        </w:rPr>
        <w:t>sentenced to 8 years imprisonment.</w:t>
      </w:r>
      <w:r w:rsidR="00A93DEB" w:rsidRPr="009C3FBF">
        <w:t xml:space="preserve"> </w:t>
      </w:r>
    </w:p>
    <w:p w:rsidR="00641963" w:rsidRPr="009C3FBF" w:rsidRDefault="00641963" w:rsidP="00B74E69">
      <w:pPr>
        <w:jc w:val="both"/>
      </w:pPr>
    </w:p>
    <w:p w:rsidR="00A3617B" w:rsidRPr="009C3FBF" w:rsidRDefault="00306D0A" w:rsidP="00B74E69">
      <w:pPr>
        <w:jc w:val="both"/>
        <w:rPr>
          <w:sz w:val="24"/>
          <w:szCs w:val="24"/>
        </w:rPr>
      </w:pPr>
      <w:r w:rsidRPr="009C3FBF">
        <w:rPr>
          <w:sz w:val="24"/>
          <w:szCs w:val="24"/>
          <w:lang w:val="en-US"/>
        </w:rPr>
        <w:t xml:space="preserve">The couple met and married in 2000 and </w:t>
      </w:r>
      <w:r w:rsidR="009979B7" w:rsidRPr="009C3FBF">
        <w:rPr>
          <w:sz w:val="24"/>
          <w:szCs w:val="24"/>
          <w:lang w:val="en-US"/>
        </w:rPr>
        <w:t xml:space="preserve">a year later </w:t>
      </w:r>
      <w:r w:rsidRPr="009C3FBF">
        <w:rPr>
          <w:sz w:val="24"/>
          <w:szCs w:val="24"/>
          <w:lang w:val="en-US"/>
        </w:rPr>
        <w:t xml:space="preserve">bought a house together in </w:t>
      </w:r>
      <w:proofErr w:type="spellStart"/>
      <w:r w:rsidRPr="009C3FBF">
        <w:rPr>
          <w:sz w:val="24"/>
          <w:szCs w:val="24"/>
          <w:lang w:val="en-US"/>
        </w:rPr>
        <w:t>Thurcroft</w:t>
      </w:r>
      <w:proofErr w:type="spellEnd"/>
      <w:r w:rsidRPr="009C3FBF">
        <w:rPr>
          <w:sz w:val="24"/>
          <w:szCs w:val="24"/>
          <w:lang w:val="en-US"/>
        </w:rPr>
        <w:t>, South Yorkshire</w:t>
      </w:r>
      <w:r w:rsidR="009979B7" w:rsidRPr="009C3FBF">
        <w:rPr>
          <w:sz w:val="24"/>
          <w:szCs w:val="24"/>
          <w:lang w:val="en-US"/>
        </w:rPr>
        <w:t xml:space="preserve">. </w:t>
      </w:r>
      <w:r w:rsidR="00C036DD" w:rsidRPr="009C3FBF">
        <w:rPr>
          <w:sz w:val="24"/>
          <w:szCs w:val="24"/>
        </w:rPr>
        <w:t>On 26</w:t>
      </w:r>
      <w:r w:rsidR="00C036DD" w:rsidRPr="009C3FBF">
        <w:rPr>
          <w:sz w:val="24"/>
          <w:szCs w:val="24"/>
          <w:vertAlign w:val="superscript"/>
        </w:rPr>
        <w:t>th</w:t>
      </w:r>
      <w:r w:rsidR="00C036DD" w:rsidRPr="009C3FBF">
        <w:rPr>
          <w:sz w:val="24"/>
          <w:szCs w:val="24"/>
        </w:rPr>
        <w:t xml:space="preserve"> December 2011, </w:t>
      </w:r>
      <w:r w:rsidR="009979B7" w:rsidRPr="009C3FBF">
        <w:rPr>
          <w:sz w:val="24"/>
          <w:szCs w:val="24"/>
        </w:rPr>
        <w:t xml:space="preserve">they went to a party </w:t>
      </w:r>
      <w:r w:rsidR="008706C9" w:rsidRPr="009C3FBF">
        <w:rPr>
          <w:sz w:val="24"/>
          <w:szCs w:val="24"/>
        </w:rPr>
        <w:t xml:space="preserve">together. On the way home they had an argument which spilled over to the following day.  </w:t>
      </w:r>
      <w:r w:rsidR="00C036DD" w:rsidRPr="009C3FBF">
        <w:rPr>
          <w:sz w:val="24"/>
          <w:szCs w:val="24"/>
        </w:rPr>
        <w:t xml:space="preserve">The argument escalated and Adult 1 said </w:t>
      </w:r>
      <w:r w:rsidR="006D4343" w:rsidRPr="009C3FBF">
        <w:rPr>
          <w:sz w:val="24"/>
          <w:szCs w:val="24"/>
        </w:rPr>
        <w:t xml:space="preserve">that as he was trying to </w:t>
      </w:r>
      <w:r w:rsidR="00C036DD" w:rsidRPr="009C3FBF">
        <w:rPr>
          <w:sz w:val="24"/>
          <w:szCs w:val="24"/>
        </w:rPr>
        <w:t xml:space="preserve">pour </w:t>
      </w:r>
      <w:r w:rsidR="006D4343" w:rsidRPr="009C3FBF">
        <w:rPr>
          <w:sz w:val="24"/>
          <w:szCs w:val="24"/>
        </w:rPr>
        <w:t xml:space="preserve">some </w:t>
      </w:r>
      <w:r w:rsidR="00C036DD" w:rsidRPr="009C3FBF">
        <w:rPr>
          <w:sz w:val="24"/>
          <w:szCs w:val="24"/>
        </w:rPr>
        <w:t>white spirit o</w:t>
      </w:r>
      <w:r w:rsidR="006D4343" w:rsidRPr="009C3FBF">
        <w:rPr>
          <w:sz w:val="24"/>
          <w:szCs w:val="24"/>
        </w:rPr>
        <w:t>n</w:t>
      </w:r>
      <w:r w:rsidR="00C036DD" w:rsidRPr="009C3FBF">
        <w:rPr>
          <w:sz w:val="24"/>
          <w:szCs w:val="24"/>
        </w:rPr>
        <w:t xml:space="preserve"> some clothing </w:t>
      </w:r>
      <w:r w:rsidR="006D4343" w:rsidRPr="009C3FBF">
        <w:rPr>
          <w:sz w:val="24"/>
          <w:szCs w:val="24"/>
        </w:rPr>
        <w:t xml:space="preserve">to spoil it, some of the spirit got onto Adult Z’s clothing and caught fire. </w:t>
      </w:r>
      <w:r w:rsidR="00A3617B" w:rsidRPr="009C3FBF">
        <w:rPr>
          <w:sz w:val="24"/>
          <w:szCs w:val="24"/>
        </w:rPr>
        <w:t xml:space="preserve">Adult Z received serious burns to her upper body and face and despite the best efforts of hospital </w:t>
      </w:r>
      <w:proofErr w:type="gramStart"/>
      <w:r w:rsidR="00A93DEB" w:rsidRPr="009C3FBF">
        <w:rPr>
          <w:sz w:val="24"/>
          <w:szCs w:val="24"/>
        </w:rPr>
        <w:t>staff,</w:t>
      </w:r>
      <w:proofErr w:type="gramEnd"/>
      <w:r w:rsidR="00A93DEB" w:rsidRPr="009C3FBF">
        <w:rPr>
          <w:sz w:val="24"/>
          <w:szCs w:val="24"/>
        </w:rPr>
        <w:t xml:space="preserve"> </w:t>
      </w:r>
      <w:r w:rsidR="00A3617B" w:rsidRPr="009C3FBF">
        <w:rPr>
          <w:sz w:val="24"/>
          <w:szCs w:val="24"/>
        </w:rPr>
        <w:t xml:space="preserve">she died </w:t>
      </w:r>
      <w:r w:rsidR="00A93DEB" w:rsidRPr="009C3FBF">
        <w:rPr>
          <w:sz w:val="24"/>
          <w:szCs w:val="24"/>
        </w:rPr>
        <w:t>at 1.20pm on 31</w:t>
      </w:r>
      <w:r w:rsidR="00A93DEB" w:rsidRPr="009C3FBF">
        <w:rPr>
          <w:sz w:val="24"/>
          <w:szCs w:val="24"/>
          <w:vertAlign w:val="superscript"/>
        </w:rPr>
        <w:t>st</w:t>
      </w:r>
      <w:r w:rsidR="00A93DEB" w:rsidRPr="009C3FBF">
        <w:rPr>
          <w:sz w:val="24"/>
          <w:szCs w:val="24"/>
        </w:rPr>
        <w:t xml:space="preserve"> December 2011. </w:t>
      </w:r>
    </w:p>
    <w:p w:rsidR="00A3617B" w:rsidRPr="009C3FBF" w:rsidRDefault="00A3617B" w:rsidP="00B74E69">
      <w:pPr>
        <w:jc w:val="both"/>
      </w:pPr>
    </w:p>
    <w:p w:rsidR="00A93DEB" w:rsidRPr="009C3FBF" w:rsidRDefault="00A93DEB" w:rsidP="00B74E69">
      <w:pPr>
        <w:widowControl/>
        <w:jc w:val="both"/>
        <w:rPr>
          <w:color w:val="000000"/>
          <w:sz w:val="24"/>
          <w:szCs w:val="24"/>
          <w:lang w:eastAsia="en-GB"/>
        </w:rPr>
      </w:pPr>
      <w:r w:rsidRPr="009C3FBF">
        <w:rPr>
          <w:color w:val="000000"/>
          <w:sz w:val="24"/>
          <w:szCs w:val="24"/>
          <w:lang w:eastAsia="en-GB"/>
        </w:rPr>
        <w:t xml:space="preserve">On January 4, 2012, the Safer Rotherham Partnership determined that the Adult Z’s death appeared to </w:t>
      </w:r>
      <w:r w:rsidR="005E50B7" w:rsidRPr="009C3FBF">
        <w:rPr>
          <w:color w:val="000000"/>
          <w:sz w:val="24"/>
          <w:szCs w:val="24"/>
          <w:lang w:eastAsia="en-GB"/>
        </w:rPr>
        <w:t xml:space="preserve">warrant the establishment of a </w:t>
      </w:r>
      <w:r w:rsidR="004F7A49">
        <w:rPr>
          <w:color w:val="000000"/>
          <w:sz w:val="24"/>
          <w:szCs w:val="24"/>
          <w:lang w:eastAsia="en-GB"/>
        </w:rPr>
        <w:t>domestic homicide review</w:t>
      </w:r>
      <w:r w:rsidR="005E50B7" w:rsidRPr="009C3FBF">
        <w:rPr>
          <w:color w:val="000000"/>
          <w:sz w:val="24"/>
          <w:szCs w:val="24"/>
          <w:lang w:eastAsia="en-GB"/>
        </w:rPr>
        <w:t>.</w:t>
      </w:r>
    </w:p>
    <w:p w:rsidR="00A93DEB" w:rsidRPr="009C3FBF" w:rsidRDefault="00A93DEB" w:rsidP="00B74E69">
      <w:pPr>
        <w:widowControl/>
        <w:jc w:val="both"/>
        <w:rPr>
          <w:color w:val="000000"/>
          <w:sz w:val="24"/>
          <w:szCs w:val="24"/>
          <w:lang w:eastAsia="en-GB"/>
        </w:rPr>
      </w:pPr>
    </w:p>
    <w:p w:rsidR="002E6C5E" w:rsidRPr="009C3FBF" w:rsidRDefault="002E6C5E" w:rsidP="00B74E69">
      <w:pPr>
        <w:widowControl/>
        <w:jc w:val="both"/>
        <w:rPr>
          <w:color w:val="000000"/>
          <w:sz w:val="24"/>
          <w:szCs w:val="24"/>
          <w:lang w:eastAsia="en-GB"/>
        </w:rPr>
      </w:pPr>
      <w:r w:rsidRPr="009C3FBF">
        <w:rPr>
          <w:color w:val="000000"/>
          <w:sz w:val="24"/>
          <w:szCs w:val="24"/>
          <w:lang w:eastAsia="en-GB"/>
        </w:rPr>
        <w:t xml:space="preserve">The following agencies were </w:t>
      </w:r>
      <w:r w:rsidR="00D402F3" w:rsidRPr="009C3FBF">
        <w:rPr>
          <w:color w:val="000000"/>
          <w:sz w:val="24"/>
          <w:szCs w:val="24"/>
          <w:lang w:eastAsia="en-GB"/>
        </w:rPr>
        <w:t xml:space="preserve">asked to </w:t>
      </w:r>
      <w:r w:rsidR="001E321F" w:rsidRPr="009C3FBF">
        <w:rPr>
          <w:color w:val="000000"/>
          <w:sz w:val="24"/>
          <w:szCs w:val="24"/>
          <w:lang w:eastAsia="en-GB"/>
        </w:rPr>
        <w:t xml:space="preserve">provide </w:t>
      </w:r>
      <w:r w:rsidR="00D402F3" w:rsidRPr="009C3FBF">
        <w:rPr>
          <w:color w:val="000000"/>
          <w:sz w:val="24"/>
          <w:szCs w:val="24"/>
          <w:lang w:eastAsia="en-GB"/>
        </w:rPr>
        <w:t xml:space="preserve">chronological accounts of </w:t>
      </w:r>
      <w:r w:rsidR="004F7A49">
        <w:rPr>
          <w:color w:val="000000"/>
          <w:sz w:val="24"/>
          <w:szCs w:val="24"/>
          <w:lang w:eastAsia="en-GB"/>
        </w:rPr>
        <w:t xml:space="preserve">any </w:t>
      </w:r>
      <w:r w:rsidR="00D402F3" w:rsidRPr="009C3FBF">
        <w:rPr>
          <w:color w:val="000000"/>
          <w:sz w:val="24"/>
          <w:szCs w:val="24"/>
          <w:lang w:eastAsia="en-GB"/>
        </w:rPr>
        <w:t xml:space="preserve">contact </w:t>
      </w:r>
      <w:r w:rsidR="004F7A49">
        <w:rPr>
          <w:color w:val="000000"/>
          <w:sz w:val="24"/>
          <w:szCs w:val="24"/>
          <w:lang w:eastAsia="en-GB"/>
        </w:rPr>
        <w:t xml:space="preserve">they had </w:t>
      </w:r>
      <w:r w:rsidR="00D402F3" w:rsidRPr="009C3FBF">
        <w:rPr>
          <w:color w:val="000000"/>
          <w:sz w:val="24"/>
          <w:szCs w:val="24"/>
          <w:lang w:eastAsia="en-GB"/>
        </w:rPr>
        <w:t xml:space="preserve">with </w:t>
      </w:r>
      <w:r w:rsidRPr="009C3FBF">
        <w:rPr>
          <w:color w:val="000000"/>
          <w:sz w:val="24"/>
          <w:szCs w:val="24"/>
          <w:lang w:eastAsia="en-GB"/>
        </w:rPr>
        <w:t>Adult Z, Adult 1</w:t>
      </w:r>
      <w:r w:rsidR="007E5DF1" w:rsidRPr="009C3FBF">
        <w:rPr>
          <w:color w:val="000000"/>
          <w:sz w:val="24"/>
          <w:szCs w:val="24"/>
          <w:lang w:eastAsia="en-GB"/>
        </w:rPr>
        <w:t xml:space="preserve"> </w:t>
      </w:r>
      <w:r w:rsidRPr="009C3FBF">
        <w:rPr>
          <w:color w:val="000000"/>
          <w:sz w:val="24"/>
          <w:szCs w:val="24"/>
          <w:lang w:eastAsia="en-GB"/>
        </w:rPr>
        <w:t>and any children they had been involved with in the 5 years prior to Adult Z’s death:</w:t>
      </w:r>
    </w:p>
    <w:p w:rsidR="002E6C5E" w:rsidRPr="009C3FBF" w:rsidRDefault="002E6C5E" w:rsidP="00B74E69">
      <w:pPr>
        <w:widowControl/>
        <w:jc w:val="both"/>
        <w:rPr>
          <w:color w:val="000000"/>
          <w:sz w:val="24"/>
          <w:szCs w:val="24"/>
          <w:lang w:eastAsia="en-GB"/>
        </w:rPr>
      </w:pP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 xml:space="preserve">South Yorkshire Police </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 xml:space="preserve">The Village Surgery, </w:t>
      </w:r>
      <w:proofErr w:type="spellStart"/>
      <w:r w:rsidRPr="009C3FBF">
        <w:rPr>
          <w:color w:val="000000"/>
          <w:sz w:val="24"/>
          <w:szCs w:val="24"/>
          <w:lang w:eastAsia="en-GB"/>
        </w:rPr>
        <w:t>Thurcroft</w:t>
      </w:r>
      <w:proofErr w:type="spellEnd"/>
      <w:r w:rsidRPr="009C3FBF">
        <w:rPr>
          <w:color w:val="000000"/>
          <w:sz w:val="24"/>
          <w:szCs w:val="24"/>
          <w:lang w:eastAsia="en-GB"/>
        </w:rPr>
        <w:t>, Rotherham</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 xml:space="preserve">Independent Domestic Violence Advocacy </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Choices and Options (a specialist Domestic Abuse support service)</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Rotherham Women’s Refuge</w:t>
      </w:r>
    </w:p>
    <w:p w:rsidR="002E6C5E" w:rsidRPr="009C3FBF" w:rsidRDefault="002E6C5E" w:rsidP="00B74E69">
      <w:pPr>
        <w:widowControl/>
        <w:numPr>
          <w:ilvl w:val="0"/>
          <w:numId w:val="3"/>
        </w:numPr>
        <w:jc w:val="both"/>
        <w:rPr>
          <w:color w:val="000000"/>
          <w:sz w:val="24"/>
          <w:szCs w:val="24"/>
          <w:lang w:eastAsia="en-GB"/>
        </w:rPr>
      </w:pPr>
      <w:proofErr w:type="spellStart"/>
      <w:r w:rsidRPr="009C3FBF">
        <w:rPr>
          <w:color w:val="000000"/>
          <w:sz w:val="24"/>
          <w:szCs w:val="24"/>
          <w:lang w:eastAsia="en-GB"/>
        </w:rPr>
        <w:t>Apna</w:t>
      </w:r>
      <w:proofErr w:type="spellEnd"/>
      <w:r w:rsidRPr="009C3FBF">
        <w:rPr>
          <w:color w:val="000000"/>
          <w:sz w:val="24"/>
          <w:szCs w:val="24"/>
          <w:lang w:eastAsia="en-GB"/>
        </w:rPr>
        <w:t xml:space="preserve"> </w:t>
      </w:r>
      <w:proofErr w:type="spellStart"/>
      <w:r w:rsidRPr="009C3FBF">
        <w:rPr>
          <w:color w:val="000000"/>
          <w:sz w:val="24"/>
          <w:szCs w:val="24"/>
          <w:lang w:eastAsia="en-GB"/>
        </w:rPr>
        <w:t>Haq</w:t>
      </w:r>
      <w:proofErr w:type="spellEnd"/>
      <w:r w:rsidRPr="009C3FBF">
        <w:rPr>
          <w:color w:val="000000"/>
          <w:sz w:val="24"/>
          <w:szCs w:val="24"/>
          <w:lang w:eastAsia="en-GB"/>
        </w:rPr>
        <w:t xml:space="preserve"> (The local Black Minority and Ethnic Refugee specialist support project for victims of domestic abuse)</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Rotherham Doncaster and South Humber (</w:t>
      </w:r>
      <w:proofErr w:type="spellStart"/>
      <w:r w:rsidRPr="009C3FBF">
        <w:rPr>
          <w:color w:val="000000"/>
          <w:sz w:val="24"/>
          <w:szCs w:val="24"/>
          <w:lang w:eastAsia="en-GB"/>
        </w:rPr>
        <w:t>RDASH</w:t>
      </w:r>
      <w:proofErr w:type="spellEnd"/>
      <w:r w:rsidRPr="009C3FBF">
        <w:rPr>
          <w:color w:val="000000"/>
          <w:sz w:val="24"/>
          <w:szCs w:val="24"/>
          <w:lang w:eastAsia="en-GB"/>
        </w:rPr>
        <w:t>) – Mental Health</w:t>
      </w:r>
    </w:p>
    <w:p w:rsidR="002E6C5E" w:rsidRPr="009C3FBF" w:rsidRDefault="002E6C5E" w:rsidP="00B74E69">
      <w:pPr>
        <w:widowControl/>
        <w:numPr>
          <w:ilvl w:val="0"/>
          <w:numId w:val="3"/>
        </w:numPr>
        <w:jc w:val="both"/>
        <w:rPr>
          <w:color w:val="000000"/>
          <w:sz w:val="24"/>
          <w:szCs w:val="24"/>
          <w:lang w:eastAsia="en-GB"/>
        </w:rPr>
      </w:pPr>
      <w:proofErr w:type="spellStart"/>
      <w:r w:rsidRPr="009C3FBF">
        <w:rPr>
          <w:color w:val="000000"/>
          <w:sz w:val="24"/>
          <w:szCs w:val="24"/>
          <w:lang w:eastAsia="en-GB"/>
        </w:rPr>
        <w:t>RDASH</w:t>
      </w:r>
      <w:proofErr w:type="spellEnd"/>
      <w:r w:rsidRPr="009C3FBF">
        <w:rPr>
          <w:color w:val="000000"/>
          <w:sz w:val="24"/>
          <w:szCs w:val="24"/>
          <w:lang w:eastAsia="en-GB"/>
        </w:rPr>
        <w:t xml:space="preserve"> – SMU (Clearways, the area substance misuse service)</w:t>
      </w:r>
    </w:p>
    <w:p w:rsidR="002E6C5E" w:rsidRPr="009C3FBF" w:rsidRDefault="002E6C5E" w:rsidP="00B74E69">
      <w:pPr>
        <w:widowControl/>
        <w:numPr>
          <w:ilvl w:val="0"/>
          <w:numId w:val="3"/>
        </w:numPr>
        <w:jc w:val="both"/>
        <w:rPr>
          <w:color w:val="000000"/>
          <w:sz w:val="24"/>
          <w:szCs w:val="24"/>
          <w:lang w:eastAsia="en-GB"/>
        </w:rPr>
      </w:pPr>
      <w:proofErr w:type="spellStart"/>
      <w:r w:rsidRPr="009C3FBF">
        <w:rPr>
          <w:color w:val="000000"/>
          <w:sz w:val="24"/>
          <w:szCs w:val="24"/>
          <w:lang w:eastAsia="en-GB"/>
        </w:rPr>
        <w:t>RDASH</w:t>
      </w:r>
      <w:proofErr w:type="spellEnd"/>
      <w:r w:rsidRPr="009C3FBF">
        <w:rPr>
          <w:color w:val="000000"/>
          <w:sz w:val="24"/>
          <w:szCs w:val="24"/>
          <w:lang w:eastAsia="en-GB"/>
        </w:rPr>
        <w:t xml:space="preserve"> – (Lifeline, a service specifically dealing with alcohol misuse)</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Sexual Assault Referral Centre</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 xml:space="preserve">Rotherham Children’s and Young People’s Services </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North Lincolnshire Children’s and Young Person’s Service</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Rotherham Youth Offending Services</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Rotherham Metropolitan Borough Council Neighbourhoods and Adults Directorate</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Crown Prosecution Service</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HM Court Services</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 xml:space="preserve">The Children and Family Court Advisory and Support Service </w:t>
      </w:r>
    </w:p>
    <w:p w:rsidR="002E6C5E"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Victim Support Rotherham</w:t>
      </w:r>
    </w:p>
    <w:p w:rsidR="00EF4167" w:rsidRPr="009C3FBF" w:rsidRDefault="002E6C5E" w:rsidP="00B74E69">
      <w:pPr>
        <w:widowControl/>
        <w:numPr>
          <w:ilvl w:val="0"/>
          <w:numId w:val="3"/>
        </w:numPr>
        <w:jc w:val="both"/>
        <w:rPr>
          <w:color w:val="000000"/>
          <w:sz w:val="24"/>
          <w:szCs w:val="24"/>
          <w:lang w:eastAsia="en-GB"/>
        </w:rPr>
      </w:pPr>
      <w:r w:rsidRPr="009C3FBF">
        <w:rPr>
          <w:color w:val="000000"/>
          <w:sz w:val="24"/>
          <w:szCs w:val="24"/>
          <w:lang w:eastAsia="en-GB"/>
        </w:rPr>
        <w:t>The Rotherham Foundation Hospital Trust</w:t>
      </w:r>
      <w:r w:rsidR="00EF4167" w:rsidRPr="009C3FBF">
        <w:rPr>
          <w:sz w:val="24"/>
          <w:szCs w:val="24"/>
          <w:lang w:eastAsia="en-GB"/>
        </w:rPr>
        <w:t xml:space="preserve"> </w:t>
      </w:r>
    </w:p>
    <w:p w:rsidR="00EF4167" w:rsidRPr="009C3FBF" w:rsidRDefault="00EF4167" w:rsidP="00B74E69">
      <w:pPr>
        <w:widowControl/>
        <w:ind w:left="360"/>
        <w:jc w:val="both"/>
        <w:rPr>
          <w:color w:val="000000"/>
          <w:sz w:val="24"/>
          <w:szCs w:val="24"/>
          <w:lang w:eastAsia="en-GB"/>
        </w:rPr>
      </w:pPr>
    </w:p>
    <w:p w:rsidR="00EF4167" w:rsidRPr="009C3FBF" w:rsidRDefault="00EF4167" w:rsidP="00B74E69">
      <w:pPr>
        <w:widowControl/>
        <w:jc w:val="both"/>
        <w:rPr>
          <w:color w:val="000000"/>
          <w:sz w:val="24"/>
          <w:szCs w:val="24"/>
          <w:lang w:eastAsia="en-GB"/>
        </w:rPr>
      </w:pPr>
      <w:r w:rsidRPr="009C3FBF">
        <w:rPr>
          <w:color w:val="000000"/>
          <w:sz w:val="24"/>
          <w:szCs w:val="24"/>
          <w:lang w:eastAsia="en-GB"/>
        </w:rPr>
        <w:lastRenderedPageBreak/>
        <w:t xml:space="preserve">All of the agencies responded. There was no recorded history of domestic violence or abuse between the couple; </w:t>
      </w:r>
      <w:r w:rsidR="007E5DF1" w:rsidRPr="009C3FBF">
        <w:rPr>
          <w:color w:val="000000"/>
          <w:sz w:val="24"/>
          <w:szCs w:val="24"/>
          <w:lang w:eastAsia="en-GB"/>
        </w:rPr>
        <w:t>of the agencies listed above</w:t>
      </w:r>
      <w:r w:rsidR="00A3281D">
        <w:rPr>
          <w:color w:val="000000"/>
          <w:sz w:val="24"/>
          <w:szCs w:val="24"/>
          <w:lang w:eastAsia="en-GB"/>
        </w:rPr>
        <w:t>,</w:t>
      </w:r>
      <w:r w:rsidR="007E5DF1" w:rsidRPr="009C3FBF">
        <w:rPr>
          <w:color w:val="000000"/>
          <w:sz w:val="24"/>
          <w:szCs w:val="24"/>
          <w:lang w:eastAsia="en-GB"/>
        </w:rPr>
        <w:t xml:space="preserve"> </w:t>
      </w:r>
      <w:r w:rsidRPr="009C3FBF">
        <w:rPr>
          <w:color w:val="000000"/>
          <w:sz w:val="24"/>
          <w:szCs w:val="24"/>
          <w:lang w:eastAsia="en-GB"/>
        </w:rPr>
        <w:t xml:space="preserve">they were known </w:t>
      </w:r>
      <w:r w:rsidR="007E5DF1" w:rsidRPr="009C3FBF">
        <w:rPr>
          <w:color w:val="000000"/>
          <w:sz w:val="24"/>
          <w:szCs w:val="24"/>
          <w:lang w:eastAsia="en-GB"/>
        </w:rPr>
        <w:t xml:space="preserve">only </w:t>
      </w:r>
      <w:r w:rsidRPr="009C3FBF">
        <w:rPr>
          <w:color w:val="000000"/>
          <w:sz w:val="24"/>
          <w:szCs w:val="24"/>
          <w:lang w:eastAsia="en-GB"/>
        </w:rPr>
        <w:t xml:space="preserve">to the South Yorkshire Police, their General Practitioner and the Local Hospital Trust but not in </w:t>
      </w:r>
      <w:r w:rsidR="007E5DF1" w:rsidRPr="009C3FBF">
        <w:rPr>
          <w:color w:val="000000"/>
          <w:sz w:val="24"/>
          <w:szCs w:val="24"/>
          <w:lang w:eastAsia="en-GB"/>
        </w:rPr>
        <w:t xml:space="preserve">a </w:t>
      </w:r>
      <w:r w:rsidR="00A3281D">
        <w:rPr>
          <w:color w:val="000000"/>
          <w:sz w:val="24"/>
          <w:szCs w:val="24"/>
          <w:lang w:eastAsia="en-GB"/>
        </w:rPr>
        <w:t xml:space="preserve">context of </w:t>
      </w:r>
      <w:r w:rsidRPr="009C3FBF">
        <w:rPr>
          <w:color w:val="000000"/>
          <w:sz w:val="24"/>
          <w:szCs w:val="24"/>
          <w:lang w:eastAsia="en-GB"/>
        </w:rPr>
        <w:t>violence or abus</w:t>
      </w:r>
      <w:r w:rsidR="00A3281D">
        <w:rPr>
          <w:color w:val="000000"/>
          <w:sz w:val="24"/>
          <w:szCs w:val="24"/>
          <w:lang w:eastAsia="en-GB"/>
        </w:rPr>
        <w:t>e.</w:t>
      </w:r>
    </w:p>
    <w:p w:rsidR="00EF4167" w:rsidRPr="009C3FBF" w:rsidRDefault="00EF4167" w:rsidP="00B74E69">
      <w:pPr>
        <w:widowControl/>
        <w:jc w:val="both"/>
        <w:rPr>
          <w:color w:val="000000"/>
          <w:sz w:val="24"/>
          <w:szCs w:val="24"/>
          <w:lang w:eastAsia="en-GB"/>
        </w:rPr>
      </w:pPr>
    </w:p>
    <w:p w:rsidR="00D402F3" w:rsidRPr="009C3FBF" w:rsidRDefault="00D04BCB" w:rsidP="00B74E69">
      <w:pPr>
        <w:widowControl/>
        <w:jc w:val="both"/>
        <w:rPr>
          <w:color w:val="000000"/>
          <w:sz w:val="24"/>
          <w:szCs w:val="24"/>
          <w:lang w:eastAsia="en-GB"/>
        </w:rPr>
      </w:pPr>
      <w:r w:rsidRPr="009C3FBF">
        <w:rPr>
          <w:color w:val="000000"/>
          <w:sz w:val="24"/>
          <w:szCs w:val="24"/>
          <w:lang w:eastAsia="en-GB"/>
        </w:rPr>
        <w:t>Those agencies produced reports covering the following:</w:t>
      </w:r>
    </w:p>
    <w:p w:rsidR="001E321F" w:rsidRPr="009C3FBF" w:rsidRDefault="001E321F" w:rsidP="00B74E69">
      <w:pPr>
        <w:widowControl/>
        <w:jc w:val="both"/>
        <w:rPr>
          <w:color w:val="000000"/>
          <w:sz w:val="24"/>
          <w:szCs w:val="24"/>
          <w:lang w:eastAsia="en-GB"/>
        </w:rPr>
      </w:pPr>
    </w:p>
    <w:p w:rsidR="00D402F3" w:rsidRPr="009C3FBF" w:rsidRDefault="00D402F3" w:rsidP="00B74E69">
      <w:pPr>
        <w:pStyle w:val="ListParagraph"/>
        <w:widowControl/>
        <w:numPr>
          <w:ilvl w:val="0"/>
          <w:numId w:val="1"/>
        </w:numPr>
        <w:jc w:val="both"/>
        <w:rPr>
          <w:iCs/>
          <w:color w:val="000000"/>
          <w:sz w:val="24"/>
          <w:szCs w:val="24"/>
          <w:lang w:eastAsia="en-GB"/>
        </w:rPr>
      </w:pPr>
      <w:r w:rsidRPr="009C3FBF">
        <w:rPr>
          <w:iCs/>
          <w:color w:val="000000"/>
          <w:sz w:val="24"/>
          <w:szCs w:val="24"/>
          <w:lang w:eastAsia="en-GB"/>
        </w:rPr>
        <w:t xml:space="preserve">A chronology of interaction with </w:t>
      </w:r>
      <w:r w:rsidR="001E321F" w:rsidRPr="009C3FBF">
        <w:rPr>
          <w:iCs/>
          <w:color w:val="000000"/>
          <w:sz w:val="24"/>
          <w:szCs w:val="24"/>
          <w:lang w:eastAsia="en-GB"/>
        </w:rPr>
        <w:t xml:space="preserve">Adult Z and with </w:t>
      </w:r>
      <w:r w:rsidR="00E2466E" w:rsidRPr="009C3FBF">
        <w:rPr>
          <w:iCs/>
          <w:color w:val="000000"/>
          <w:sz w:val="24"/>
          <w:szCs w:val="24"/>
          <w:lang w:eastAsia="en-GB"/>
        </w:rPr>
        <w:t>Adult 1</w:t>
      </w:r>
      <w:r w:rsidR="001E321F" w:rsidRPr="009C3FBF">
        <w:rPr>
          <w:iCs/>
          <w:color w:val="000000"/>
          <w:sz w:val="24"/>
          <w:szCs w:val="24"/>
          <w:lang w:eastAsia="en-GB"/>
        </w:rPr>
        <w:t>;</w:t>
      </w:r>
    </w:p>
    <w:p w:rsidR="00D402F3" w:rsidRPr="009C3FBF" w:rsidRDefault="00D05AAB" w:rsidP="00B74E69">
      <w:pPr>
        <w:pStyle w:val="ListParagraph"/>
        <w:widowControl/>
        <w:numPr>
          <w:ilvl w:val="0"/>
          <w:numId w:val="1"/>
        </w:numPr>
        <w:jc w:val="both"/>
        <w:rPr>
          <w:iCs/>
          <w:color w:val="000000"/>
          <w:sz w:val="24"/>
          <w:szCs w:val="24"/>
          <w:lang w:eastAsia="en-GB"/>
        </w:rPr>
      </w:pPr>
      <w:r w:rsidRPr="009C3FBF">
        <w:rPr>
          <w:iCs/>
          <w:color w:val="000000"/>
          <w:sz w:val="24"/>
          <w:szCs w:val="24"/>
          <w:lang w:eastAsia="en-GB"/>
        </w:rPr>
        <w:t>W</w:t>
      </w:r>
      <w:r w:rsidR="00D402F3" w:rsidRPr="009C3FBF">
        <w:rPr>
          <w:iCs/>
          <w:color w:val="000000"/>
          <w:sz w:val="24"/>
          <w:szCs w:val="24"/>
          <w:lang w:eastAsia="en-GB"/>
        </w:rPr>
        <w:t>hat was done or agreed;</w:t>
      </w:r>
    </w:p>
    <w:p w:rsidR="00D402F3" w:rsidRPr="009C3FBF" w:rsidRDefault="00D05AAB" w:rsidP="00B74E69">
      <w:pPr>
        <w:pStyle w:val="ListParagraph"/>
        <w:widowControl/>
        <w:numPr>
          <w:ilvl w:val="0"/>
          <w:numId w:val="1"/>
        </w:numPr>
        <w:jc w:val="both"/>
        <w:rPr>
          <w:iCs/>
          <w:color w:val="000000"/>
          <w:sz w:val="24"/>
          <w:szCs w:val="24"/>
          <w:lang w:eastAsia="en-GB"/>
        </w:rPr>
      </w:pPr>
      <w:r w:rsidRPr="009C3FBF">
        <w:rPr>
          <w:iCs/>
          <w:color w:val="000000"/>
          <w:sz w:val="24"/>
          <w:szCs w:val="24"/>
          <w:lang w:eastAsia="en-GB"/>
        </w:rPr>
        <w:t>W</w:t>
      </w:r>
      <w:r w:rsidR="00D402F3" w:rsidRPr="009C3FBF">
        <w:rPr>
          <w:iCs/>
          <w:color w:val="000000"/>
          <w:sz w:val="24"/>
          <w:szCs w:val="24"/>
          <w:lang w:eastAsia="en-GB"/>
        </w:rPr>
        <w:t>hether internal procedures were followed; and</w:t>
      </w:r>
    </w:p>
    <w:p w:rsidR="00662628" w:rsidRPr="009C3FBF" w:rsidRDefault="00D05AAB" w:rsidP="00B74E69">
      <w:pPr>
        <w:pStyle w:val="ListParagraph"/>
        <w:numPr>
          <w:ilvl w:val="0"/>
          <w:numId w:val="1"/>
        </w:numPr>
        <w:jc w:val="both"/>
        <w:rPr>
          <w:iCs/>
          <w:color w:val="000000"/>
          <w:sz w:val="24"/>
          <w:szCs w:val="24"/>
          <w:lang w:eastAsia="en-GB"/>
        </w:rPr>
      </w:pPr>
      <w:r w:rsidRPr="009C3FBF">
        <w:rPr>
          <w:iCs/>
          <w:color w:val="000000"/>
          <w:sz w:val="24"/>
          <w:szCs w:val="24"/>
          <w:lang w:eastAsia="en-GB"/>
        </w:rPr>
        <w:t>C</w:t>
      </w:r>
      <w:r w:rsidR="00D402F3" w:rsidRPr="009C3FBF">
        <w:rPr>
          <w:iCs/>
          <w:color w:val="000000"/>
          <w:sz w:val="24"/>
          <w:szCs w:val="24"/>
          <w:lang w:eastAsia="en-GB"/>
        </w:rPr>
        <w:t>onclusions and recommendations from the agency’s point of view.</w:t>
      </w:r>
    </w:p>
    <w:p w:rsidR="00D402F3" w:rsidRPr="009C3FBF" w:rsidRDefault="00D402F3" w:rsidP="00B74E69">
      <w:pPr>
        <w:jc w:val="both"/>
        <w:rPr>
          <w:i/>
          <w:iCs/>
          <w:color w:val="000000"/>
          <w:sz w:val="24"/>
          <w:szCs w:val="24"/>
          <w:lang w:eastAsia="en-GB"/>
        </w:rPr>
      </w:pPr>
    </w:p>
    <w:p w:rsidR="004F3464" w:rsidRPr="009C3FBF" w:rsidRDefault="004F3464" w:rsidP="00B74E69">
      <w:pPr>
        <w:widowControl/>
        <w:tabs>
          <w:tab w:val="num" w:pos="720"/>
        </w:tabs>
        <w:jc w:val="both"/>
        <w:rPr>
          <w:sz w:val="24"/>
          <w:szCs w:val="24"/>
          <w:u w:val="single"/>
          <w:lang w:eastAsia="en-GB"/>
        </w:rPr>
      </w:pPr>
      <w:r w:rsidRPr="009C3FBF">
        <w:rPr>
          <w:sz w:val="24"/>
          <w:szCs w:val="24"/>
          <w:u w:val="single"/>
          <w:lang w:eastAsia="en-GB"/>
        </w:rPr>
        <w:t>The police</w:t>
      </w:r>
    </w:p>
    <w:p w:rsidR="004F3464" w:rsidRPr="009C3FBF" w:rsidRDefault="004F3464" w:rsidP="00B74E69">
      <w:pPr>
        <w:widowControl/>
        <w:tabs>
          <w:tab w:val="num" w:pos="720"/>
        </w:tabs>
        <w:jc w:val="both"/>
        <w:rPr>
          <w:sz w:val="24"/>
          <w:szCs w:val="24"/>
          <w:lang w:eastAsia="en-GB"/>
        </w:rPr>
      </w:pPr>
    </w:p>
    <w:p w:rsidR="00F830A7" w:rsidRPr="009C3FBF" w:rsidRDefault="00BC07DE" w:rsidP="00B74E69">
      <w:pPr>
        <w:widowControl/>
        <w:tabs>
          <w:tab w:val="num" w:pos="720"/>
        </w:tabs>
        <w:jc w:val="both"/>
        <w:rPr>
          <w:sz w:val="24"/>
          <w:szCs w:val="24"/>
          <w:lang w:eastAsia="en-GB"/>
        </w:rPr>
      </w:pPr>
      <w:r w:rsidRPr="009C3FBF">
        <w:rPr>
          <w:sz w:val="24"/>
          <w:szCs w:val="24"/>
          <w:lang w:eastAsia="en-GB"/>
        </w:rPr>
        <w:t xml:space="preserve">The police report shows that </w:t>
      </w:r>
      <w:r w:rsidR="00D402F3" w:rsidRPr="009C3FBF">
        <w:rPr>
          <w:sz w:val="24"/>
          <w:szCs w:val="24"/>
          <w:lang w:eastAsia="en-GB"/>
        </w:rPr>
        <w:t xml:space="preserve">between </w:t>
      </w:r>
      <w:r w:rsidR="00F830A7" w:rsidRPr="009C3FBF">
        <w:rPr>
          <w:sz w:val="24"/>
          <w:szCs w:val="24"/>
          <w:lang w:eastAsia="en-GB"/>
        </w:rPr>
        <w:t>2002 and 2008</w:t>
      </w:r>
      <w:r w:rsidR="00206950">
        <w:rPr>
          <w:sz w:val="24"/>
          <w:szCs w:val="24"/>
          <w:lang w:eastAsia="en-GB"/>
        </w:rPr>
        <w:t>,</w:t>
      </w:r>
      <w:r w:rsidR="00CD2C00" w:rsidRPr="009C3FBF">
        <w:rPr>
          <w:sz w:val="24"/>
          <w:szCs w:val="24"/>
          <w:lang w:eastAsia="en-GB"/>
        </w:rPr>
        <w:t xml:space="preserve"> </w:t>
      </w:r>
      <w:r w:rsidR="005826C9" w:rsidRPr="009C3FBF">
        <w:rPr>
          <w:sz w:val="24"/>
          <w:szCs w:val="24"/>
          <w:lang w:eastAsia="en-GB"/>
        </w:rPr>
        <w:t>A</w:t>
      </w:r>
      <w:r w:rsidRPr="009C3FBF">
        <w:rPr>
          <w:sz w:val="24"/>
          <w:szCs w:val="24"/>
          <w:lang w:eastAsia="en-GB"/>
        </w:rPr>
        <w:t xml:space="preserve">dult Z </w:t>
      </w:r>
      <w:r w:rsidR="005826C9" w:rsidRPr="009C3FBF">
        <w:rPr>
          <w:sz w:val="24"/>
          <w:szCs w:val="24"/>
          <w:lang w:eastAsia="en-GB"/>
        </w:rPr>
        <w:t>made two reports of theft, two of youths causing a nuisance and one of a vehicle being found burnt out. She was also given a police caution for failing to report a road traffic accident.</w:t>
      </w:r>
      <w:r w:rsidR="00F830A7" w:rsidRPr="009C3FBF">
        <w:rPr>
          <w:sz w:val="24"/>
          <w:szCs w:val="24"/>
          <w:lang w:eastAsia="en-GB"/>
        </w:rPr>
        <w:t xml:space="preserve">  </w:t>
      </w:r>
    </w:p>
    <w:p w:rsidR="00CD2C00" w:rsidRPr="009C3FBF" w:rsidRDefault="00D402F3" w:rsidP="00B74E69">
      <w:pPr>
        <w:widowControl/>
        <w:jc w:val="both"/>
        <w:rPr>
          <w:sz w:val="24"/>
          <w:szCs w:val="24"/>
          <w:lang w:eastAsia="en-GB"/>
        </w:rPr>
      </w:pPr>
      <w:r w:rsidRPr="009C3FBF">
        <w:rPr>
          <w:sz w:val="24"/>
          <w:szCs w:val="24"/>
          <w:lang w:eastAsia="en-GB"/>
        </w:rPr>
        <w:t xml:space="preserve"> </w:t>
      </w:r>
    </w:p>
    <w:p w:rsidR="004F3464" w:rsidRPr="009C3FBF" w:rsidRDefault="0099216E" w:rsidP="00B74E69">
      <w:pPr>
        <w:widowControl/>
        <w:jc w:val="both"/>
        <w:rPr>
          <w:sz w:val="24"/>
          <w:szCs w:val="24"/>
          <w:lang w:eastAsia="en-GB"/>
        </w:rPr>
      </w:pPr>
      <w:r w:rsidRPr="009C3FBF">
        <w:rPr>
          <w:sz w:val="24"/>
          <w:szCs w:val="24"/>
          <w:lang w:eastAsia="en-GB"/>
        </w:rPr>
        <w:t>The p</w:t>
      </w:r>
      <w:r w:rsidR="00F830A7" w:rsidRPr="009C3FBF">
        <w:rPr>
          <w:sz w:val="24"/>
          <w:szCs w:val="24"/>
          <w:lang w:eastAsia="en-GB"/>
        </w:rPr>
        <w:t xml:space="preserve">olice had contact with Adult 1 between 1971 and </w:t>
      </w:r>
      <w:r w:rsidRPr="009C3FBF">
        <w:rPr>
          <w:sz w:val="24"/>
          <w:szCs w:val="24"/>
          <w:lang w:eastAsia="en-GB"/>
        </w:rPr>
        <w:t>1980 for offences of dishonesty; he w</w:t>
      </w:r>
      <w:r w:rsidR="00F830A7" w:rsidRPr="009C3FBF">
        <w:rPr>
          <w:sz w:val="24"/>
          <w:szCs w:val="24"/>
          <w:lang w:eastAsia="en-GB"/>
        </w:rPr>
        <w:t>as convicted of five offences of burglary and was either fined, given a supervision order or a community service order. The</w:t>
      </w:r>
      <w:r w:rsidRPr="009C3FBF">
        <w:rPr>
          <w:sz w:val="24"/>
          <w:szCs w:val="24"/>
          <w:lang w:eastAsia="en-GB"/>
        </w:rPr>
        <w:t xml:space="preserve"> police had no further contact with him </w:t>
      </w:r>
      <w:r w:rsidR="00F830A7" w:rsidRPr="009C3FBF">
        <w:rPr>
          <w:sz w:val="24"/>
          <w:szCs w:val="24"/>
          <w:lang w:eastAsia="en-GB"/>
        </w:rPr>
        <w:t>until he telephoned them to say his wife had been admitted to hospital</w:t>
      </w:r>
      <w:r w:rsidR="00206950">
        <w:rPr>
          <w:sz w:val="24"/>
          <w:szCs w:val="24"/>
          <w:lang w:eastAsia="en-GB"/>
        </w:rPr>
        <w:t xml:space="preserve"> with severe burns</w:t>
      </w:r>
      <w:r w:rsidR="004F3464" w:rsidRPr="009C3FBF">
        <w:rPr>
          <w:sz w:val="24"/>
          <w:szCs w:val="24"/>
          <w:lang w:eastAsia="en-GB"/>
        </w:rPr>
        <w:t xml:space="preserve">. </w:t>
      </w:r>
    </w:p>
    <w:p w:rsidR="004F3464" w:rsidRPr="009C3FBF" w:rsidRDefault="004F3464" w:rsidP="00B74E69">
      <w:pPr>
        <w:widowControl/>
        <w:jc w:val="both"/>
        <w:rPr>
          <w:sz w:val="24"/>
          <w:szCs w:val="24"/>
          <w:lang w:eastAsia="en-GB"/>
        </w:rPr>
      </w:pPr>
    </w:p>
    <w:p w:rsidR="004F3464" w:rsidRPr="009C3FBF" w:rsidRDefault="004F3464" w:rsidP="00B74E69">
      <w:pPr>
        <w:widowControl/>
        <w:jc w:val="both"/>
        <w:rPr>
          <w:sz w:val="24"/>
          <w:szCs w:val="24"/>
          <w:u w:val="single"/>
          <w:lang w:eastAsia="en-GB"/>
        </w:rPr>
      </w:pPr>
      <w:r w:rsidRPr="009C3FBF">
        <w:rPr>
          <w:sz w:val="24"/>
          <w:szCs w:val="24"/>
          <w:u w:val="single"/>
          <w:lang w:eastAsia="en-GB"/>
        </w:rPr>
        <w:t>The GP</w:t>
      </w:r>
    </w:p>
    <w:p w:rsidR="004F3464" w:rsidRPr="009C3FBF" w:rsidRDefault="004F3464" w:rsidP="00B74E69">
      <w:pPr>
        <w:widowControl/>
        <w:jc w:val="both"/>
        <w:rPr>
          <w:sz w:val="24"/>
          <w:szCs w:val="24"/>
          <w:lang w:eastAsia="en-GB"/>
        </w:rPr>
      </w:pPr>
    </w:p>
    <w:p w:rsidR="004F3464" w:rsidRPr="009C3FBF" w:rsidRDefault="004F3464" w:rsidP="00B74E69">
      <w:pPr>
        <w:widowControl/>
        <w:jc w:val="both"/>
        <w:rPr>
          <w:sz w:val="24"/>
          <w:szCs w:val="24"/>
          <w:lang w:eastAsia="en-GB"/>
        </w:rPr>
      </w:pPr>
      <w:r w:rsidRPr="009C3FBF">
        <w:rPr>
          <w:sz w:val="24"/>
          <w:szCs w:val="24"/>
          <w:lang w:eastAsia="en-GB"/>
        </w:rPr>
        <w:t xml:space="preserve">The couple had contact with their GP before Adult Z’s death, but not in respect of anything to do with domestic abuse or violence, substance misuse or mental health issues. Adult 1 saw his GP in January 2012 (after the incident) because he was having difficulty sleeping.  </w:t>
      </w:r>
    </w:p>
    <w:p w:rsidR="004F3464" w:rsidRPr="009C3FBF" w:rsidRDefault="004F3464" w:rsidP="00B74E69">
      <w:pPr>
        <w:widowControl/>
        <w:jc w:val="both"/>
        <w:rPr>
          <w:sz w:val="24"/>
          <w:szCs w:val="24"/>
          <w:lang w:eastAsia="en-GB"/>
        </w:rPr>
      </w:pPr>
      <w:r w:rsidRPr="009C3FBF">
        <w:rPr>
          <w:sz w:val="24"/>
          <w:szCs w:val="24"/>
          <w:lang w:eastAsia="en-GB"/>
        </w:rPr>
        <w:t xml:space="preserve"> </w:t>
      </w:r>
    </w:p>
    <w:p w:rsidR="004F3464" w:rsidRPr="009C3FBF" w:rsidRDefault="004F3464" w:rsidP="00B74E69">
      <w:pPr>
        <w:widowControl/>
        <w:jc w:val="both"/>
        <w:rPr>
          <w:sz w:val="24"/>
          <w:szCs w:val="24"/>
          <w:u w:val="single"/>
          <w:lang w:eastAsia="en-GB"/>
        </w:rPr>
      </w:pPr>
      <w:r w:rsidRPr="009C3FBF">
        <w:rPr>
          <w:sz w:val="24"/>
          <w:szCs w:val="24"/>
          <w:u w:val="single"/>
          <w:lang w:eastAsia="en-GB"/>
        </w:rPr>
        <w:t>Local Hospital Trust</w:t>
      </w:r>
    </w:p>
    <w:p w:rsidR="004F3464" w:rsidRPr="009C3FBF" w:rsidRDefault="004F3464" w:rsidP="00B74E69">
      <w:pPr>
        <w:widowControl/>
        <w:jc w:val="both"/>
        <w:rPr>
          <w:sz w:val="24"/>
          <w:szCs w:val="24"/>
          <w:lang w:eastAsia="en-GB"/>
        </w:rPr>
      </w:pPr>
    </w:p>
    <w:p w:rsidR="004F3464" w:rsidRPr="009C3FBF" w:rsidRDefault="00622AD7" w:rsidP="00B74E69">
      <w:pPr>
        <w:widowControl/>
        <w:jc w:val="both"/>
        <w:rPr>
          <w:sz w:val="24"/>
          <w:szCs w:val="24"/>
          <w:lang w:eastAsia="en-GB"/>
        </w:rPr>
      </w:pPr>
      <w:r w:rsidRPr="009C3FBF">
        <w:rPr>
          <w:sz w:val="24"/>
          <w:szCs w:val="24"/>
          <w:lang w:eastAsia="en-GB"/>
        </w:rPr>
        <w:t>The</w:t>
      </w:r>
      <w:r w:rsidR="00A83DA0" w:rsidRPr="009C3FBF">
        <w:rPr>
          <w:sz w:val="24"/>
          <w:szCs w:val="24"/>
          <w:lang w:eastAsia="en-GB"/>
        </w:rPr>
        <w:t>ir</w:t>
      </w:r>
      <w:r w:rsidRPr="009C3FBF">
        <w:rPr>
          <w:sz w:val="24"/>
          <w:szCs w:val="24"/>
          <w:lang w:eastAsia="en-GB"/>
        </w:rPr>
        <w:t xml:space="preserve"> </w:t>
      </w:r>
      <w:r w:rsidR="00492C38" w:rsidRPr="009C3FBF">
        <w:rPr>
          <w:sz w:val="24"/>
          <w:szCs w:val="24"/>
          <w:lang w:eastAsia="en-GB"/>
        </w:rPr>
        <w:t xml:space="preserve">only involvement with either Adult Z or Adult 1 was after Adult Z </w:t>
      </w:r>
      <w:r w:rsidR="008219BE" w:rsidRPr="009C3FBF">
        <w:rPr>
          <w:sz w:val="24"/>
          <w:szCs w:val="24"/>
          <w:lang w:eastAsia="en-GB"/>
        </w:rPr>
        <w:t xml:space="preserve">had been </w:t>
      </w:r>
      <w:r w:rsidR="00492C38" w:rsidRPr="009C3FBF">
        <w:rPr>
          <w:sz w:val="24"/>
          <w:szCs w:val="24"/>
          <w:lang w:eastAsia="en-GB"/>
        </w:rPr>
        <w:t xml:space="preserve">admitted to hospital </w:t>
      </w:r>
      <w:r w:rsidR="008219BE" w:rsidRPr="009C3FBF">
        <w:rPr>
          <w:sz w:val="24"/>
          <w:szCs w:val="24"/>
          <w:lang w:eastAsia="en-GB"/>
        </w:rPr>
        <w:t>after the incident that led to her death.</w:t>
      </w:r>
    </w:p>
    <w:p w:rsidR="004F3464" w:rsidRPr="009C3FBF" w:rsidRDefault="004F3464" w:rsidP="00B74E69">
      <w:pPr>
        <w:widowControl/>
        <w:jc w:val="both"/>
        <w:rPr>
          <w:sz w:val="24"/>
          <w:szCs w:val="24"/>
          <w:lang w:eastAsia="en-GB"/>
        </w:rPr>
      </w:pPr>
    </w:p>
    <w:p w:rsidR="00D402F3" w:rsidRPr="009C3FBF" w:rsidRDefault="00D402F3" w:rsidP="00B74E69">
      <w:pPr>
        <w:widowControl/>
        <w:jc w:val="both"/>
        <w:rPr>
          <w:b/>
          <w:sz w:val="24"/>
          <w:szCs w:val="24"/>
          <w:lang w:eastAsia="en-GB"/>
        </w:rPr>
      </w:pPr>
      <w:r w:rsidRPr="009C3FBF">
        <w:rPr>
          <w:b/>
          <w:sz w:val="24"/>
          <w:szCs w:val="24"/>
          <w:lang w:eastAsia="en-GB"/>
        </w:rPr>
        <w:t>2. Key issues arising from the review</w:t>
      </w:r>
    </w:p>
    <w:p w:rsidR="00840D56" w:rsidRPr="009C3FBF" w:rsidRDefault="00840D56" w:rsidP="00B74E69">
      <w:pPr>
        <w:widowControl/>
        <w:jc w:val="both"/>
        <w:rPr>
          <w:sz w:val="24"/>
          <w:szCs w:val="24"/>
          <w:lang w:eastAsia="en-GB"/>
        </w:rPr>
      </w:pPr>
    </w:p>
    <w:p w:rsidR="00FD1383" w:rsidRDefault="002B25E3" w:rsidP="00B74E69">
      <w:pPr>
        <w:jc w:val="both"/>
        <w:rPr>
          <w:sz w:val="24"/>
          <w:szCs w:val="24"/>
        </w:rPr>
      </w:pPr>
      <w:r w:rsidRPr="009C3FBF">
        <w:rPr>
          <w:sz w:val="24"/>
          <w:szCs w:val="24"/>
        </w:rPr>
        <w:t>The</w:t>
      </w:r>
      <w:r w:rsidR="009C3FBF" w:rsidRPr="009C3FBF">
        <w:rPr>
          <w:sz w:val="24"/>
          <w:szCs w:val="24"/>
        </w:rPr>
        <w:t xml:space="preserve">re was an </w:t>
      </w:r>
      <w:r w:rsidRPr="009C3FBF">
        <w:rPr>
          <w:sz w:val="24"/>
          <w:szCs w:val="24"/>
        </w:rPr>
        <w:t>issue</w:t>
      </w:r>
      <w:r w:rsidR="009C3FBF" w:rsidRPr="009C3FBF">
        <w:rPr>
          <w:sz w:val="24"/>
          <w:szCs w:val="24"/>
        </w:rPr>
        <w:t xml:space="preserve"> about a</w:t>
      </w:r>
      <w:r w:rsidRPr="009C3FBF">
        <w:rPr>
          <w:sz w:val="24"/>
          <w:szCs w:val="24"/>
        </w:rPr>
        <w:t xml:space="preserve"> lack of a referral by the police to trigger the </w:t>
      </w:r>
      <w:proofErr w:type="spellStart"/>
      <w:r w:rsidRPr="009C3FBF">
        <w:rPr>
          <w:sz w:val="24"/>
          <w:szCs w:val="24"/>
        </w:rPr>
        <w:t>MARAC</w:t>
      </w:r>
      <w:proofErr w:type="spellEnd"/>
      <w:r w:rsidRPr="009C3FBF">
        <w:rPr>
          <w:sz w:val="24"/>
          <w:szCs w:val="24"/>
        </w:rPr>
        <w:t xml:space="preserve"> </w:t>
      </w:r>
      <w:r w:rsidR="001F3393">
        <w:rPr>
          <w:sz w:val="24"/>
          <w:szCs w:val="24"/>
        </w:rPr>
        <w:t xml:space="preserve">or </w:t>
      </w:r>
      <w:proofErr w:type="spellStart"/>
      <w:r w:rsidR="001F3393">
        <w:rPr>
          <w:sz w:val="24"/>
          <w:szCs w:val="24"/>
        </w:rPr>
        <w:t>IDVA</w:t>
      </w:r>
      <w:proofErr w:type="spellEnd"/>
      <w:r w:rsidR="001F3393">
        <w:rPr>
          <w:sz w:val="24"/>
          <w:szCs w:val="24"/>
        </w:rPr>
        <w:t xml:space="preserve"> </w:t>
      </w:r>
      <w:r w:rsidRPr="009C3FBF">
        <w:rPr>
          <w:sz w:val="24"/>
          <w:szCs w:val="24"/>
        </w:rPr>
        <w:t>process</w:t>
      </w:r>
      <w:r w:rsidR="001F3393">
        <w:rPr>
          <w:sz w:val="24"/>
          <w:szCs w:val="24"/>
        </w:rPr>
        <w:t>es</w:t>
      </w:r>
      <w:r w:rsidRPr="009C3FBF">
        <w:rPr>
          <w:sz w:val="24"/>
          <w:szCs w:val="24"/>
        </w:rPr>
        <w:t xml:space="preserve"> and the fact that </w:t>
      </w:r>
      <w:r w:rsidR="00F34E24">
        <w:rPr>
          <w:sz w:val="24"/>
          <w:szCs w:val="24"/>
        </w:rPr>
        <w:t xml:space="preserve">a </w:t>
      </w:r>
      <w:r w:rsidRPr="009C3FBF">
        <w:rPr>
          <w:sz w:val="24"/>
          <w:szCs w:val="24"/>
        </w:rPr>
        <w:t xml:space="preserve">‘near miss’ policy </w:t>
      </w:r>
      <w:r w:rsidR="00F34E24">
        <w:rPr>
          <w:sz w:val="24"/>
          <w:szCs w:val="24"/>
        </w:rPr>
        <w:t xml:space="preserve">that was in the development stage at the time </w:t>
      </w:r>
      <w:r w:rsidRPr="009C3FBF">
        <w:rPr>
          <w:sz w:val="24"/>
          <w:szCs w:val="24"/>
        </w:rPr>
        <w:t xml:space="preserve">was not invoked by the police or medical staff. </w:t>
      </w:r>
      <w:r w:rsidR="00FD1383" w:rsidRPr="009C3FBF">
        <w:rPr>
          <w:sz w:val="24"/>
          <w:szCs w:val="24"/>
        </w:rPr>
        <w:t xml:space="preserve">The only agency not using the DASH risk assessment tool was the South Yorkshire Police. Had the risk assessment been undertaken </w:t>
      </w:r>
      <w:r w:rsidR="00206950">
        <w:rPr>
          <w:sz w:val="24"/>
          <w:szCs w:val="24"/>
        </w:rPr>
        <w:t xml:space="preserve">using </w:t>
      </w:r>
      <w:r w:rsidR="00A01164">
        <w:rPr>
          <w:sz w:val="24"/>
          <w:szCs w:val="24"/>
        </w:rPr>
        <w:t>it</w:t>
      </w:r>
      <w:r w:rsidR="00FD1383" w:rsidRPr="009C3FBF">
        <w:rPr>
          <w:sz w:val="24"/>
          <w:szCs w:val="24"/>
        </w:rPr>
        <w:t xml:space="preserve">, based on the accounts given at the time of the Adult Z’s hospital admission, the level of injury sustained and the use of professional judgement, the risk would have been assessed as ‘high’ and </w:t>
      </w:r>
      <w:proofErr w:type="spellStart"/>
      <w:r w:rsidR="00FD1383" w:rsidRPr="009C3FBF">
        <w:rPr>
          <w:sz w:val="24"/>
          <w:szCs w:val="24"/>
        </w:rPr>
        <w:t>MARAC</w:t>
      </w:r>
      <w:proofErr w:type="spellEnd"/>
      <w:r w:rsidR="00FD1383" w:rsidRPr="009C3FBF">
        <w:rPr>
          <w:sz w:val="24"/>
          <w:szCs w:val="24"/>
        </w:rPr>
        <w:t xml:space="preserve"> and </w:t>
      </w:r>
      <w:proofErr w:type="spellStart"/>
      <w:r w:rsidR="00FD1383" w:rsidRPr="009C3FBF">
        <w:rPr>
          <w:sz w:val="24"/>
          <w:szCs w:val="24"/>
        </w:rPr>
        <w:t>IDVA</w:t>
      </w:r>
      <w:proofErr w:type="spellEnd"/>
      <w:r w:rsidR="00FD1383" w:rsidRPr="009C3FBF">
        <w:rPr>
          <w:sz w:val="24"/>
          <w:szCs w:val="24"/>
        </w:rPr>
        <w:t xml:space="preserve"> referrals would have been triggered</w:t>
      </w:r>
      <w:r w:rsidR="00691DE1">
        <w:rPr>
          <w:sz w:val="24"/>
          <w:szCs w:val="24"/>
        </w:rPr>
        <w:t>.</w:t>
      </w:r>
    </w:p>
    <w:p w:rsidR="00FD1383" w:rsidRDefault="00FD1383" w:rsidP="00B74E69">
      <w:pPr>
        <w:jc w:val="both"/>
        <w:rPr>
          <w:sz w:val="24"/>
          <w:szCs w:val="24"/>
        </w:rPr>
      </w:pPr>
    </w:p>
    <w:p w:rsidR="00691DE1" w:rsidRPr="00EB4C4D" w:rsidRDefault="00691DE1" w:rsidP="00B74E69">
      <w:pPr>
        <w:jc w:val="both"/>
        <w:rPr>
          <w:bCs/>
          <w:i/>
        </w:rPr>
      </w:pPr>
      <w:r>
        <w:rPr>
          <w:bCs/>
        </w:rPr>
        <w:t xml:space="preserve">Note: All the agencies </w:t>
      </w:r>
      <w:r w:rsidRPr="004256D7">
        <w:rPr>
          <w:bCs/>
        </w:rPr>
        <w:t xml:space="preserve">had agreed that </w:t>
      </w:r>
      <w:r>
        <w:rPr>
          <w:bCs/>
        </w:rPr>
        <w:t xml:space="preserve">‘near miss’ </w:t>
      </w:r>
      <w:r w:rsidRPr="004256D7">
        <w:rPr>
          <w:bCs/>
        </w:rPr>
        <w:t>incidents would be referred during the development phase</w:t>
      </w:r>
      <w:r>
        <w:rPr>
          <w:bCs/>
        </w:rPr>
        <w:t xml:space="preserve"> of the policy. </w:t>
      </w:r>
    </w:p>
    <w:p w:rsidR="00691DE1" w:rsidRDefault="00691DE1" w:rsidP="00B74E69">
      <w:pPr>
        <w:jc w:val="both"/>
        <w:rPr>
          <w:sz w:val="24"/>
          <w:szCs w:val="24"/>
        </w:rPr>
      </w:pPr>
    </w:p>
    <w:p w:rsidR="00A23F1E" w:rsidRPr="000D56AE" w:rsidRDefault="00A23F1E" w:rsidP="00A23F1E">
      <w:pPr>
        <w:jc w:val="both"/>
        <w:rPr>
          <w:bCs/>
          <w:sz w:val="24"/>
          <w:szCs w:val="24"/>
        </w:rPr>
      </w:pPr>
      <w:r w:rsidRPr="000D56AE">
        <w:rPr>
          <w:sz w:val="24"/>
          <w:szCs w:val="24"/>
        </w:rPr>
        <w:lastRenderedPageBreak/>
        <w:t xml:space="preserve">While considering issues around the ‘near miss’ policy, it was acknowledged that </w:t>
      </w:r>
      <w:r w:rsidR="000D56AE" w:rsidRPr="000D56AE">
        <w:rPr>
          <w:sz w:val="24"/>
          <w:szCs w:val="24"/>
        </w:rPr>
        <w:t xml:space="preserve">a case </w:t>
      </w:r>
      <w:r w:rsidRPr="000D56AE">
        <w:rPr>
          <w:bCs/>
          <w:sz w:val="24"/>
          <w:szCs w:val="24"/>
        </w:rPr>
        <w:t xml:space="preserve">involving </w:t>
      </w:r>
      <w:r w:rsidR="000D56AE" w:rsidRPr="000D56AE">
        <w:rPr>
          <w:bCs/>
          <w:sz w:val="24"/>
          <w:szCs w:val="24"/>
        </w:rPr>
        <w:t xml:space="preserve">an </w:t>
      </w:r>
      <w:r w:rsidRPr="000D56AE">
        <w:rPr>
          <w:bCs/>
          <w:sz w:val="24"/>
          <w:szCs w:val="24"/>
        </w:rPr>
        <w:t>attempted suicide following a history of domestic abuse should be referred if</w:t>
      </w:r>
      <w:r w:rsidR="000D56AE" w:rsidRPr="000D56AE">
        <w:rPr>
          <w:bCs/>
          <w:sz w:val="24"/>
          <w:szCs w:val="24"/>
        </w:rPr>
        <w:t xml:space="preserve"> it gives </w:t>
      </w:r>
      <w:r w:rsidRPr="000D56AE">
        <w:rPr>
          <w:bCs/>
          <w:sz w:val="24"/>
          <w:szCs w:val="24"/>
        </w:rPr>
        <w:t>rise for concern about the way local professionals and services work together to safeguard victims of domestic abuse.</w:t>
      </w:r>
      <w:r w:rsidRPr="000D56AE">
        <w:rPr>
          <w:sz w:val="24"/>
          <w:szCs w:val="24"/>
        </w:rPr>
        <w:t xml:space="preserve"> </w:t>
      </w:r>
      <w:r w:rsidR="000D56AE" w:rsidRPr="000D56AE">
        <w:rPr>
          <w:sz w:val="24"/>
          <w:szCs w:val="24"/>
        </w:rPr>
        <w:t xml:space="preserve">The question arose as to whether </w:t>
      </w:r>
      <w:r w:rsidRPr="000D56AE">
        <w:rPr>
          <w:sz w:val="24"/>
          <w:szCs w:val="24"/>
        </w:rPr>
        <w:t xml:space="preserve">the term ‘death’ within the statutory </w:t>
      </w:r>
      <w:proofErr w:type="spellStart"/>
      <w:r w:rsidRPr="000D56AE">
        <w:rPr>
          <w:sz w:val="24"/>
          <w:szCs w:val="24"/>
        </w:rPr>
        <w:t>DHR</w:t>
      </w:r>
      <w:proofErr w:type="spellEnd"/>
      <w:r w:rsidRPr="000D56AE">
        <w:rPr>
          <w:sz w:val="24"/>
          <w:szCs w:val="24"/>
        </w:rPr>
        <w:t xml:space="preserve"> guidance includes </w:t>
      </w:r>
      <w:r w:rsidR="000D56AE" w:rsidRPr="000D56AE">
        <w:rPr>
          <w:sz w:val="24"/>
          <w:szCs w:val="24"/>
        </w:rPr>
        <w:t xml:space="preserve">instances of </w:t>
      </w:r>
      <w:r w:rsidRPr="000D56AE">
        <w:rPr>
          <w:sz w:val="24"/>
          <w:szCs w:val="24"/>
        </w:rPr>
        <w:t>suicide where domestic abuse issues were or were suspected to have been an issue prior to the death</w:t>
      </w:r>
      <w:r w:rsidRPr="000D56AE">
        <w:rPr>
          <w:bCs/>
          <w:sz w:val="24"/>
          <w:szCs w:val="24"/>
        </w:rPr>
        <w:t xml:space="preserve">.  </w:t>
      </w:r>
    </w:p>
    <w:p w:rsidR="00A23F1E" w:rsidRDefault="00A23F1E" w:rsidP="00B74E69">
      <w:pPr>
        <w:jc w:val="both"/>
        <w:rPr>
          <w:sz w:val="24"/>
          <w:szCs w:val="24"/>
        </w:rPr>
      </w:pPr>
    </w:p>
    <w:p w:rsidR="002B25E3" w:rsidRPr="009C3FBF" w:rsidRDefault="002B25E3" w:rsidP="00B74E69">
      <w:pPr>
        <w:jc w:val="both"/>
        <w:rPr>
          <w:sz w:val="24"/>
          <w:szCs w:val="24"/>
        </w:rPr>
      </w:pPr>
      <w:r w:rsidRPr="009C3FBF">
        <w:rPr>
          <w:sz w:val="24"/>
          <w:szCs w:val="24"/>
        </w:rPr>
        <w:t xml:space="preserve">Medical staff did not notify the police </w:t>
      </w:r>
      <w:r w:rsidR="00206950">
        <w:rPr>
          <w:sz w:val="24"/>
          <w:szCs w:val="24"/>
        </w:rPr>
        <w:t>of</w:t>
      </w:r>
      <w:r w:rsidRPr="009C3FBF">
        <w:rPr>
          <w:sz w:val="24"/>
          <w:szCs w:val="24"/>
        </w:rPr>
        <w:t xml:space="preserve"> their suspicions a</w:t>
      </w:r>
      <w:r w:rsidR="00691DE1">
        <w:rPr>
          <w:sz w:val="24"/>
          <w:szCs w:val="24"/>
        </w:rPr>
        <w:t xml:space="preserve">bout </w:t>
      </w:r>
      <w:r w:rsidRPr="009C3FBF">
        <w:rPr>
          <w:sz w:val="24"/>
          <w:szCs w:val="24"/>
        </w:rPr>
        <w:t>how Adult Z’s injuries had been caused, but they did tell Adult 1 to contac</w:t>
      </w:r>
      <w:r w:rsidR="009C3FBF" w:rsidRPr="009C3FBF">
        <w:rPr>
          <w:sz w:val="24"/>
          <w:szCs w:val="24"/>
        </w:rPr>
        <w:t>t the police</w:t>
      </w:r>
      <w:r w:rsidR="00FD1383">
        <w:rPr>
          <w:sz w:val="24"/>
          <w:szCs w:val="24"/>
        </w:rPr>
        <w:t xml:space="preserve"> himself</w:t>
      </w:r>
      <w:r w:rsidR="009C3FBF" w:rsidRPr="009C3FBF">
        <w:rPr>
          <w:sz w:val="24"/>
          <w:szCs w:val="24"/>
        </w:rPr>
        <w:t xml:space="preserve">. </w:t>
      </w:r>
      <w:r w:rsidR="00EC1726">
        <w:rPr>
          <w:sz w:val="24"/>
          <w:szCs w:val="24"/>
        </w:rPr>
        <w:t>(</w:t>
      </w:r>
      <w:r w:rsidR="009C3FBF" w:rsidRPr="009C3FBF">
        <w:rPr>
          <w:sz w:val="24"/>
          <w:szCs w:val="24"/>
        </w:rPr>
        <w:t xml:space="preserve">They </w:t>
      </w:r>
      <w:r w:rsidRPr="009C3FBF">
        <w:rPr>
          <w:sz w:val="24"/>
          <w:szCs w:val="24"/>
        </w:rPr>
        <w:t>assured the panel that they would have contacted the police themselves had Adult 1</w:t>
      </w:r>
      <w:r w:rsidR="009C3FBF" w:rsidRPr="009C3FBF">
        <w:rPr>
          <w:sz w:val="24"/>
          <w:szCs w:val="24"/>
        </w:rPr>
        <w:t xml:space="preserve"> </w:t>
      </w:r>
      <w:r w:rsidRPr="009C3FBF">
        <w:rPr>
          <w:sz w:val="24"/>
          <w:szCs w:val="24"/>
        </w:rPr>
        <w:t>not done so.</w:t>
      </w:r>
      <w:r w:rsidR="00EC1726">
        <w:rPr>
          <w:sz w:val="24"/>
          <w:szCs w:val="24"/>
        </w:rPr>
        <w:t>)</w:t>
      </w:r>
      <w:r w:rsidRPr="009C3FBF">
        <w:rPr>
          <w:sz w:val="24"/>
          <w:szCs w:val="24"/>
        </w:rPr>
        <w:t xml:space="preserve">  </w:t>
      </w:r>
    </w:p>
    <w:p w:rsidR="00840D56" w:rsidRPr="009C3FBF" w:rsidRDefault="00840D56" w:rsidP="00B74E69">
      <w:pPr>
        <w:widowControl/>
        <w:jc w:val="both"/>
        <w:rPr>
          <w:sz w:val="24"/>
          <w:szCs w:val="24"/>
          <w:lang w:eastAsia="en-GB"/>
        </w:rPr>
      </w:pPr>
    </w:p>
    <w:p w:rsidR="002B25E3" w:rsidRDefault="00FD1383" w:rsidP="00B74E69">
      <w:pPr>
        <w:jc w:val="both"/>
        <w:rPr>
          <w:sz w:val="24"/>
          <w:szCs w:val="24"/>
        </w:rPr>
      </w:pPr>
      <w:r>
        <w:rPr>
          <w:sz w:val="24"/>
          <w:szCs w:val="24"/>
        </w:rPr>
        <w:t>S</w:t>
      </w:r>
      <w:r w:rsidR="002B25E3" w:rsidRPr="009C3FBF">
        <w:rPr>
          <w:sz w:val="24"/>
          <w:szCs w:val="24"/>
        </w:rPr>
        <w:t xml:space="preserve">ome training needs </w:t>
      </w:r>
      <w:r>
        <w:rPr>
          <w:sz w:val="24"/>
          <w:szCs w:val="24"/>
        </w:rPr>
        <w:t xml:space="preserve">were identified within </w:t>
      </w:r>
      <w:r w:rsidRPr="009C3FBF">
        <w:rPr>
          <w:sz w:val="24"/>
          <w:szCs w:val="24"/>
        </w:rPr>
        <w:t xml:space="preserve">The Rotherham NHS Foundation </w:t>
      </w:r>
      <w:r>
        <w:rPr>
          <w:sz w:val="24"/>
          <w:szCs w:val="24"/>
        </w:rPr>
        <w:t xml:space="preserve">Trust </w:t>
      </w:r>
      <w:r w:rsidR="002B25E3" w:rsidRPr="009C3FBF">
        <w:rPr>
          <w:sz w:val="24"/>
          <w:szCs w:val="24"/>
        </w:rPr>
        <w:t>about risk assessmen</w:t>
      </w:r>
      <w:r>
        <w:rPr>
          <w:sz w:val="24"/>
          <w:szCs w:val="24"/>
        </w:rPr>
        <w:t xml:space="preserve">t and domestic abuse awareness. Also identified was an </w:t>
      </w:r>
      <w:r w:rsidR="002B25E3" w:rsidRPr="009C3FBF">
        <w:rPr>
          <w:sz w:val="24"/>
          <w:szCs w:val="24"/>
        </w:rPr>
        <w:t xml:space="preserve">issue about suspicions of abuse not being escalated to senior </w:t>
      </w:r>
      <w:proofErr w:type="gramStart"/>
      <w:r w:rsidR="002B25E3" w:rsidRPr="009C3FBF">
        <w:rPr>
          <w:sz w:val="24"/>
          <w:szCs w:val="24"/>
        </w:rPr>
        <w:t>managers.</w:t>
      </w:r>
      <w:proofErr w:type="gramEnd"/>
    </w:p>
    <w:p w:rsidR="009B17C9" w:rsidRDefault="009B17C9" w:rsidP="00B74E69">
      <w:pPr>
        <w:jc w:val="both"/>
        <w:rPr>
          <w:sz w:val="24"/>
          <w:szCs w:val="24"/>
        </w:rPr>
      </w:pPr>
    </w:p>
    <w:p w:rsidR="00B74E69" w:rsidRPr="001E1B9E" w:rsidRDefault="00A01164" w:rsidP="001E1B9E">
      <w:pPr>
        <w:spacing w:after="200"/>
        <w:jc w:val="both"/>
        <w:rPr>
          <w:sz w:val="24"/>
          <w:szCs w:val="24"/>
        </w:rPr>
      </w:pPr>
      <w:r w:rsidRPr="00B74E69">
        <w:rPr>
          <w:sz w:val="24"/>
          <w:szCs w:val="24"/>
        </w:rPr>
        <w:t xml:space="preserve">An issue was also identified about </w:t>
      </w:r>
      <w:r w:rsidR="009B17C9" w:rsidRPr="00B74E69">
        <w:rPr>
          <w:sz w:val="24"/>
          <w:szCs w:val="24"/>
        </w:rPr>
        <w:t xml:space="preserve">national guidance </w:t>
      </w:r>
      <w:r w:rsidRPr="00B74E69">
        <w:rPr>
          <w:sz w:val="24"/>
          <w:szCs w:val="24"/>
        </w:rPr>
        <w:t xml:space="preserve">that currently exists in respect of the </w:t>
      </w:r>
      <w:r w:rsidR="009B17C9" w:rsidRPr="00B74E69">
        <w:rPr>
          <w:sz w:val="24"/>
          <w:szCs w:val="24"/>
        </w:rPr>
        <w:t xml:space="preserve">reporting </w:t>
      </w:r>
      <w:r w:rsidR="00B74E69" w:rsidRPr="00B74E69">
        <w:rPr>
          <w:sz w:val="24"/>
          <w:szCs w:val="24"/>
        </w:rPr>
        <w:t xml:space="preserve">of </w:t>
      </w:r>
      <w:r w:rsidR="009B17C9" w:rsidRPr="00B74E69">
        <w:rPr>
          <w:sz w:val="24"/>
          <w:szCs w:val="24"/>
        </w:rPr>
        <w:t xml:space="preserve">injuries </w:t>
      </w:r>
      <w:r w:rsidR="00B74E69" w:rsidRPr="00B74E69">
        <w:rPr>
          <w:sz w:val="24"/>
          <w:szCs w:val="24"/>
        </w:rPr>
        <w:t xml:space="preserve">by medical professionals </w:t>
      </w:r>
      <w:r w:rsidR="009B17C9" w:rsidRPr="00B74E69">
        <w:rPr>
          <w:sz w:val="24"/>
          <w:szCs w:val="24"/>
        </w:rPr>
        <w:t>without the consent of the victim</w:t>
      </w:r>
      <w:r w:rsidR="00B74E69" w:rsidRPr="00B74E69">
        <w:rPr>
          <w:sz w:val="24"/>
          <w:szCs w:val="24"/>
        </w:rPr>
        <w:t xml:space="preserve">. Currently, the guidance is that gunshot and knife injuries can be reported, but there is nothing in the guidance in respect of life threatening injuries caused by other </w:t>
      </w:r>
      <w:r w:rsidR="00B74E69" w:rsidRPr="001E1B9E">
        <w:rPr>
          <w:sz w:val="24"/>
          <w:szCs w:val="24"/>
        </w:rPr>
        <w:t xml:space="preserve">means. </w:t>
      </w:r>
    </w:p>
    <w:p w:rsidR="001E1B9E" w:rsidRPr="001E1B9E" w:rsidRDefault="000044A8" w:rsidP="001E1B9E">
      <w:pPr>
        <w:spacing w:after="200"/>
        <w:jc w:val="both"/>
        <w:rPr>
          <w:sz w:val="24"/>
          <w:szCs w:val="24"/>
        </w:rPr>
      </w:pPr>
      <w:r w:rsidRPr="001E1B9E">
        <w:rPr>
          <w:sz w:val="24"/>
          <w:szCs w:val="24"/>
        </w:rPr>
        <w:t xml:space="preserve">During the review process, an approach was made by the police family liaison officer to the </w:t>
      </w:r>
      <w:r w:rsidR="00B74E69" w:rsidRPr="001E1B9E">
        <w:rPr>
          <w:sz w:val="24"/>
          <w:szCs w:val="24"/>
        </w:rPr>
        <w:t xml:space="preserve">Victim Support National Homicide Service </w:t>
      </w:r>
      <w:r w:rsidRPr="001E1B9E">
        <w:rPr>
          <w:sz w:val="24"/>
          <w:szCs w:val="24"/>
        </w:rPr>
        <w:t xml:space="preserve">for assistance. At that time, the criminal investigation was </w:t>
      </w:r>
      <w:r w:rsidR="001E1B9E" w:rsidRPr="001E1B9E">
        <w:rPr>
          <w:sz w:val="24"/>
          <w:szCs w:val="24"/>
        </w:rPr>
        <w:t>still ongoing</w:t>
      </w:r>
      <w:r w:rsidRPr="001E1B9E">
        <w:rPr>
          <w:sz w:val="24"/>
          <w:szCs w:val="24"/>
        </w:rPr>
        <w:t xml:space="preserve"> and Adult 1 was insisting that Adult </w:t>
      </w:r>
      <w:r w:rsidR="00B74E69" w:rsidRPr="001E1B9E">
        <w:rPr>
          <w:sz w:val="24"/>
          <w:szCs w:val="24"/>
        </w:rPr>
        <w:t xml:space="preserve">Z’s death </w:t>
      </w:r>
      <w:r w:rsidRPr="001E1B9E">
        <w:rPr>
          <w:sz w:val="24"/>
          <w:szCs w:val="24"/>
        </w:rPr>
        <w:t>had been caused as a result of a</w:t>
      </w:r>
      <w:r w:rsidR="001E1B9E" w:rsidRPr="001E1B9E">
        <w:rPr>
          <w:sz w:val="24"/>
          <w:szCs w:val="24"/>
        </w:rPr>
        <w:t xml:space="preserve"> tragic accident. Although a homicide had undoubtedly been committed, </w:t>
      </w:r>
      <w:r w:rsidR="00B74E69" w:rsidRPr="001E1B9E">
        <w:rPr>
          <w:sz w:val="24"/>
          <w:szCs w:val="24"/>
        </w:rPr>
        <w:t xml:space="preserve">Victim Support </w:t>
      </w:r>
      <w:r w:rsidR="001E1B9E" w:rsidRPr="001E1B9E">
        <w:rPr>
          <w:sz w:val="24"/>
          <w:szCs w:val="24"/>
        </w:rPr>
        <w:t xml:space="preserve">felt they could not </w:t>
      </w:r>
      <w:r w:rsidR="00B74E69" w:rsidRPr="001E1B9E">
        <w:rPr>
          <w:sz w:val="24"/>
          <w:szCs w:val="24"/>
        </w:rPr>
        <w:t xml:space="preserve">accept </w:t>
      </w:r>
      <w:r w:rsidR="001E1B9E" w:rsidRPr="001E1B9E">
        <w:rPr>
          <w:sz w:val="24"/>
          <w:szCs w:val="24"/>
        </w:rPr>
        <w:t>the referral</w:t>
      </w:r>
      <w:r w:rsidR="00B74E69" w:rsidRPr="001E1B9E">
        <w:rPr>
          <w:sz w:val="24"/>
          <w:szCs w:val="24"/>
        </w:rPr>
        <w:t xml:space="preserve"> </w:t>
      </w:r>
      <w:r w:rsidR="001E1B9E" w:rsidRPr="001E1B9E">
        <w:rPr>
          <w:sz w:val="24"/>
          <w:szCs w:val="24"/>
        </w:rPr>
        <w:t>because it had not been established that a</w:t>
      </w:r>
      <w:r w:rsidR="00B74E69" w:rsidRPr="001E1B9E">
        <w:rPr>
          <w:sz w:val="24"/>
          <w:szCs w:val="24"/>
        </w:rPr>
        <w:t xml:space="preserve"> criminal act</w:t>
      </w:r>
      <w:r w:rsidR="001E1B9E" w:rsidRPr="001E1B9E">
        <w:rPr>
          <w:sz w:val="24"/>
          <w:szCs w:val="24"/>
        </w:rPr>
        <w:t xml:space="preserve"> had been involved. </w:t>
      </w:r>
    </w:p>
    <w:p w:rsidR="00E11D16" w:rsidRDefault="00D402F3" w:rsidP="00B74E69">
      <w:pPr>
        <w:widowControl/>
        <w:jc w:val="both"/>
        <w:rPr>
          <w:b/>
          <w:sz w:val="24"/>
          <w:szCs w:val="24"/>
          <w:lang w:eastAsia="en-GB"/>
        </w:rPr>
      </w:pPr>
      <w:r w:rsidRPr="009C3FBF">
        <w:rPr>
          <w:b/>
          <w:sz w:val="24"/>
          <w:szCs w:val="24"/>
          <w:lang w:eastAsia="en-GB"/>
        </w:rPr>
        <w:t>3. Conclusion</w:t>
      </w:r>
      <w:r w:rsidR="00E11D16">
        <w:rPr>
          <w:b/>
          <w:sz w:val="24"/>
          <w:szCs w:val="24"/>
          <w:lang w:eastAsia="en-GB"/>
        </w:rPr>
        <w:t xml:space="preserve"> from the review</w:t>
      </w:r>
    </w:p>
    <w:p w:rsidR="00E11D16" w:rsidRDefault="00E11D16" w:rsidP="00B74E69">
      <w:pPr>
        <w:widowControl/>
        <w:jc w:val="both"/>
        <w:rPr>
          <w:b/>
          <w:sz w:val="24"/>
          <w:szCs w:val="24"/>
          <w:lang w:eastAsia="en-GB"/>
        </w:rPr>
      </w:pPr>
    </w:p>
    <w:p w:rsidR="00E11D16" w:rsidRPr="0020774B" w:rsidRDefault="00E11D16" w:rsidP="00E11D16">
      <w:pPr>
        <w:jc w:val="both"/>
        <w:rPr>
          <w:iCs/>
          <w:sz w:val="24"/>
          <w:szCs w:val="24"/>
        </w:rPr>
      </w:pPr>
      <w:r w:rsidRPr="0020774B">
        <w:rPr>
          <w:iCs/>
          <w:sz w:val="24"/>
          <w:szCs w:val="24"/>
        </w:rPr>
        <w:t>Neither Adult Z nor Adult 1 was known to any agency in a domestic abuse context</w:t>
      </w:r>
      <w:r>
        <w:rPr>
          <w:iCs/>
          <w:sz w:val="24"/>
          <w:szCs w:val="24"/>
        </w:rPr>
        <w:t xml:space="preserve"> and there is no suggestion that the tragic death of Adult Z could have been </w:t>
      </w:r>
      <w:r w:rsidRPr="0020774B">
        <w:rPr>
          <w:iCs/>
          <w:sz w:val="24"/>
          <w:szCs w:val="24"/>
        </w:rPr>
        <w:t>anticipated or prevented</w:t>
      </w:r>
      <w:r>
        <w:rPr>
          <w:iCs/>
          <w:sz w:val="24"/>
          <w:szCs w:val="24"/>
        </w:rPr>
        <w:t>.</w:t>
      </w:r>
      <w:r w:rsidRPr="0020774B">
        <w:rPr>
          <w:iCs/>
          <w:sz w:val="24"/>
          <w:szCs w:val="24"/>
        </w:rPr>
        <w:t xml:space="preserve"> </w:t>
      </w:r>
    </w:p>
    <w:p w:rsidR="00E11D16" w:rsidRDefault="00E11D16" w:rsidP="00B74E69">
      <w:pPr>
        <w:widowControl/>
        <w:jc w:val="both"/>
        <w:rPr>
          <w:b/>
          <w:sz w:val="24"/>
          <w:szCs w:val="24"/>
          <w:lang w:eastAsia="en-GB"/>
        </w:rPr>
      </w:pPr>
    </w:p>
    <w:p w:rsidR="00A31F58" w:rsidRDefault="00E11D16" w:rsidP="00A31F58">
      <w:pPr>
        <w:jc w:val="both"/>
        <w:rPr>
          <w:b/>
          <w:u w:val="single"/>
        </w:rPr>
      </w:pPr>
      <w:r>
        <w:rPr>
          <w:b/>
          <w:sz w:val="24"/>
          <w:szCs w:val="24"/>
          <w:lang w:eastAsia="en-GB"/>
        </w:rPr>
        <w:t>4. R</w:t>
      </w:r>
      <w:r w:rsidR="00D402F3" w:rsidRPr="009C3FBF">
        <w:rPr>
          <w:b/>
          <w:sz w:val="24"/>
          <w:szCs w:val="24"/>
          <w:lang w:eastAsia="en-GB"/>
        </w:rPr>
        <w:t>ecommendations from the review</w:t>
      </w:r>
      <w:r w:rsidR="00A31F58" w:rsidRPr="00A31F58">
        <w:rPr>
          <w:b/>
          <w:u w:val="single"/>
        </w:rPr>
        <w:t xml:space="preserve"> </w:t>
      </w:r>
    </w:p>
    <w:p w:rsidR="00A31F58" w:rsidRDefault="00A31F58" w:rsidP="00A31F58">
      <w:pPr>
        <w:jc w:val="both"/>
        <w:rPr>
          <w:b/>
          <w:u w:val="single"/>
        </w:rPr>
      </w:pPr>
    </w:p>
    <w:p w:rsidR="00A31F58" w:rsidRDefault="00A31F58" w:rsidP="00A31F58">
      <w:pPr>
        <w:jc w:val="both"/>
        <w:rPr>
          <w:b/>
          <w:u w:val="single"/>
        </w:rPr>
      </w:pPr>
    </w:p>
    <w:p w:rsidR="00A31F58" w:rsidRPr="00A31F58" w:rsidRDefault="00A31F58" w:rsidP="00A31F58">
      <w:pPr>
        <w:jc w:val="both"/>
        <w:rPr>
          <w:b/>
          <w:sz w:val="24"/>
          <w:szCs w:val="24"/>
          <w:u w:val="single"/>
        </w:rPr>
      </w:pPr>
      <w:r w:rsidRPr="00A31F58">
        <w:rPr>
          <w:b/>
          <w:sz w:val="24"/>
          <w:szCs w:val="24"/>
          <w:u w:val="single"/>
        </w:rPr>
        <w:t>National</w:t>
      </w:r>
    </w:p>
    <w:p w:rsidR="00D402F3" w:rsidRPr="009C3FBF" w:rsidRDefault="00D402F3" w:rsidP="00B74E69">
      <w:pPr>
        <w:widowControl/>
        <w:jc w:val="both"/>
        <w:rPr>
          <w:b/>
          <w:sz w:val="24"/>
          <w:szCs w:val="24"/>
          <w:lang w:eastAsia="en-GB"/>
        </w:rPr>
      </w:pPr>
    </w:p>
    <w:p w:rsidR="00840D56" w:rsidRPr="009C3FBF" w:rsidRDefault="00840D56" w:rsidP="00B74E69">
      <w:pPr>
        <w:jc w:val="both"/>
        <w:rPr>
          <w:sz w:val="24"/>
          <w:szCs w:val="24"/>
          <w:lang w:eastAsia="en-GB"/>
        </w:rPr>
      </w:pPr>
    </w:p>
    <w:p w:rsidR="00A31F58" w:rsidRDefault="00A31F58" w:rsidP="00A31F58">
      <w:pPr>
        <w:pStyle w:val="ListParagraph"/>
        <w:numPr>
          <w:ilvl w:val="0"/>
          <w:numId w:val="7"/>
        </w:numPr>
        <w:jc w:val="both"/>
        <w:rPr>
          <w:sz w:val="24"/>
          <w:szCs w:val="24"/>
        </w:rPr>
      </w:pPr>
      <w:r w:rsidRPr="00A31F58">
        <w:rPr>
          <w:sz w:val="24"/>
          <w:szCs w:val="24"/>
        </w:rPr>
        <w:t>Consideration should be given to the national guidance for reporting gunshot and knife injuries without the consent of the victim being reviewed with a view to including life threatening injuries caused by other means.</w:t>
      </w:r>
    </w:p>
    <w:p w:rsidR="00A31F58" w:rsidRDefault="00A31F58" w:rsidP="00A31F58">
      <w:pPr>
        <w:jc w:val="both"/>
        <w:rPr>
          <w:sz w:val="24"/>
          <w:szCs w:val="24"/>
        </w:rPr>
      </w:pPr>
    </w:p>
    <w:p w:rsidR="00A31F58" w:rsidRPr="00A31F58" w:rsidRDefault="00A31F58" w:rsidP="00A31F58">
      <w:pPr>
        <w:pStyle w:val="ListParagraph"/>
        <w:numPr>
          <w:ilvl w:val="0"/>
          <w:numId w:val="7"/>
        </w:numPr>
        <w:jc w:val="both"/>
        <w:rPr>
          <w:sz w:val="24"/>
          <w:szCs w:val="24"/>
        </w:rPr>
      </w:pPr>
      <w:r w:rsidRPr="00A31F58">
        <w:rPr>
          <w:sz w:val="24"/>
          <w:szCs w:val="24"/>
        </w:rPr>
        <w:t xml:space="preserve">The Home Office is invited to consider the current ‘near miss’ policy identified by the Safer Rotherham Partnership for wider dissemination and implementation. </w:t>
      </w:r>
    </w:p>
    <w:p w:rsidR="00A31F58" w:rsidRDefault="00A31F58" w:rsidP="00A31F58">
      <w:pPr>
        <w:jc w:val="both"/>
        <w:rPr>
          <w:sz w:val="24"/>
          <w:szCs w:val="24"/>
        </w:rPr>
      </w:pPr>
    </w:p>
    <w:p w:rsidR="00A31F58" w:rsidRDefault="00A31F58" w:rsidP="00A31F58">
      <w:pPr>
        <w:pStyle w:val="ListParagraph"/>
        <w:numPr>
          <w:ilvl w:val="0"/>
          <w:numId w:val="7"/>
        </w:numPr>
        <w:jc w:val="both"/>
        <w:rPr>
          <w:sz w:val="24"/>
          <w:szCs w:val="24"/>
        </w:rPr>
      </w:pPr>
      <w:r w:rsidRPr="00A31F58">
        <w:rPr>
          <w:sz w:val="24"/>
          <w:szCs w:val="24"/>
        </w:rPr>
        <w:t xml:space="preserve">The Home Office is invited to consider the provision of greater clarity around </w:t>
      </w:r>
      <w:r w:rsidRPr="00A31F58">
        <w:rPr>
          <w:sz w:val="24"/>
          <w:szCs w:val="24"/>
        </w:rPr>
        <w:lastRenderedPageBreak/>
        <w:t xml:space="preserve">the definition of a </w:t>
      </w:r>
      <w:proofErr w:type="spellStart"/>
      <w:r w:rsidRPr="00A31F58">
        <w:rPr>
          <w:sz w:val="24"/>
          <w:szCs w:val="24"/>
        </w:rPr>
        <w:t>DHR</w:t>
      </w:r>
      <w:proofErr w:type="spellEnd"/>
      <w:r w:rsidRPr="00A31F58">
        <w:rPr>
          <w:sz w:val="24"/>
          <w:szCs w:val="24"/>
        </w:rPr>
        <w:t xml:space="preserve"> to include victim suicide and serious injury.</w:t>
      </w:r>
    </w:p>
    <w:p w:rsidR="00A31F58" w:rsidRPr="00A31F58" w:rsidRDefault="00A31F58" w:rsidP="00A31F58">
      <w:pPr>
        <w:pStyle w:val="ListParagraph"/>
        <w:rPr>
          <w:sz w:val="24"/>
          <w:szCs w:val="24"/>
        </w:rPr>
      </w:pPr>
    </w:p>
    <w:p w:rsidR="00A31F58" w:rsidRDefault="00A31F58" w:rsidP="00A31F58">
      <w:pPr>
        <w:pStyle w:val="ListParagraph"/>
        <w:numPr>
          <w:ilvl w:val="0"/>
          <w:numId w:val="7"/>
        </w:numPr>
        <w:jc w:val="both"/>
        <w:rPr>
          <w:sz w:val="24"/>
          <w:szCs w:val="24"/>
        </w:rPr>
      </w:pPr>
      <w:r w:rsidRPr="00A31F58">
        <w:rPr>
          <w:sz w:val="24"/>
          <w:szCs w:val="24"/>
        </w:rPr>
        <w:t>At a national level, consideration given to the Victim Support National Homicide Service funding and policy, with particular reference to engagement following criminality and clearer guidance as to what constitutes a ‘homicide’.</w:t>
      </w:r>
    </w:p>
    <w:p w:rsidR="00A31F58" w:rsidRPr="00A31F58" w:rsidRDefault="00A31F58" w:rsidP="00A31F58">
      <w:pPr>
        <w:pStyle w:val="ListParagraph"/>
        <w:rPr>
          <w:sz w:val="24"/>
          <w:szCs w:val="24"/>
        </w:rPr>
      </w:pPr>
    </w:p>
    <w:p w:rsidR="00A31F58" w:rsidRDefault="00A31F58" w:rsidP="00A31F58">
      <w:pPr>
        <w:ind w:left="360"/>
        <w:jc w:val="both"/>
        <w:rPr>
          <w:b/>
          <w:sz w:val="24"/>
          <w:szCs w:val="24"/>
          <w:u w:val="single"/>
        </w:rPr>
      </w:pPr>
      <w:r w:rsidRPr="00A31F58">
        <w:rPr>
          <w:b/>
          <w:sz w:val="24"/>
          <w:szCs w:val="24"/>
          <w:u w:val="single"/>
        </w:rPr>
        <w:t>Safer Rotherham Partnership</w:t>
      </w:r>
    </w:p>
    <w:p w:rsidR="00A31F58" w:rsidRDefault="00A31F58" w:rsidP="00A31F58">
      <w:pPr>
        <w:ind w:left="360"/>
        <w:jc w:val="both"/>
        <w:rPr>
          <w:b/>
          <w:sz w:val="24"/>
          <w:szCs w:val="24"/>
          <w:u w:val="single"/>
        </w:rPr>
      </w:pPr>
    </w:p>
    <w:p w:rsidR="00A31F58" w:rsidRPr="00A31F58" w:rsidRDefault="00A31F58" w:rsidP="00A31F58">
      <w:pPr>
        <w:pStyle w:val="ListParagraph"/>
        <w:numPr>
          <w:ilvl w:val="0"/>
          <w:numId w:val="9"/>
        </w:numPr>
        <w:jc w:val="both"/>
        <w:rPr>
          <w:sz w:val="24"/>
          <w:szCs w:val="24"/>
        </w:rPr>
      </w:pPr>
      <w:r w:rsidRPr="00A31F58">
        <w:rPr>
          <w:sz w:val="24"/>
          <w:szCs w:val="24"/>
        </w:rPr>
        <w:t>The Safer Rotherham Partnership is well aware that raising public awareness of domestic abuse is an on-going process. The partnership should be clear that Domestic Abuse is wider than physical violence and should include all types of abuse, including coercive control. It should also include that abuse is age neutral effecting both women and men. The public awareness programme should be delivered regularly throughout the year and be accessible to all. It should be examined to ensure it identifies all aspects of abuse and that it can deliver appropriate outcomes.</w:t>
      </w:r>
    </w:p>
    <w:p w:rsidR="00A31F58" w:rsidRPr="00A31F58" w:rsidRDefault="00A31F58" w:rsidP="00A31F58">
      <w:pPr>
        <w:jc w:val="both"/>
        <w:rPr>
          <w:sz w:val="24"/>
          <w:szCs w:val="24"/>
        </w:rPr>
      </w:pPr>
    </w:p>
    <w:p w:rsidR="007D6683" w:rsidRDefault="00A31F58" w:rsidP="00A31F58">
      <w:pPr>
        <w:pStyle w:val="ListParagraph"/>
        <w:numPr>
          <w:ilvl w:val="0"/>
          <w:numId w:val="9"/>
        </w:numPr>
        <w:jc w:val="both"/>
        <w:rPr>
          <w:sz w:val="24"/>
          <w:szCs w:val="24"/>
        </w:rPr>
      </w:pPr>
      <w:r w:rsidRPr="00A31F58">
        <w:rPr>
          <w:sz w:val="24"/>
          <w:szCs w:val="24"/>
        </w:rPr>
        <w:t xml:space="preserve">The Safer Rotherham Partnership ‘near miss’ policy should be updated to require immediate notification to the </w:t>
      </w:r>
      <w:proofErr w:type="spellStart"/>
      <w:r w:rsidRPr="00A31F58">
        <w:rPr>
          <w:sz w:val="24"/>
          <w:szCs w:val="24"/>
        </w:rPr>
        <w:t>DAPG</w:t>
      </w:r>
      <w:proofErr w:type="spellEnd"/>
      <w:r w:rsidRPr="00A31F58">
        <w:rPr>
          <w:sz w:val="24"/>
          <w:szCs w:val="24"/>
        </w:rPr>
        <w:t xml:space="preserve"> via the </w:t>
      </w:r>
      <w:proofErr w:type="spellStart"/>
      <w:r w:rsidRPr="00A31F58">
        <w:rPr>
          <w:sz w:val="24"/>
          <w:szCs w:val="24"/>
        </w:rPr>
        <w:t>DAC</w:t>
      </w:r>
      <w:proofErr w:type="spellEnd"/>
      <w:r w:rsidRPr="00A31F58">
        <w:rPr>
          <w:sz w:val="24"/>
          <w:szCs w:val="24"/>
        </w:rPr>
        <w:t xml:space="preserve"> rather than delaying referrals to the next scheduled meeting.</w:t>
      </w:r>
    </w:p>
    <w:p w:rsidR="005603B6" w:rsidRPr="005603B6" w:rsidRDefault="005603B6" w:rsidP="005603B6">
      <w:pPr>
        <w:pStyle w:val="ListParagraph"/>
        <w:rPr>
          <w:sz w:val="24"/>
          <w:szCs w:val="24"/>
        </w:rPr>
      </w:pPr>
    </w:p>
    <w:p w:rsidR="005603B6" w:rsidRDefault="005603B6" w:rsidP="005603B6">
      <w:pPr>
        <w:pStyle w:val="ListParagraph"/>
        <w:numPr>
          <w:ilvl w:val="0"/>
          <w:numId w:val="9"/>
        </w:numPr>
        <w:jc w:val="both"/>
        <w:rPr>
          <w:sz w:val="24"/>
          <w:szCs w:val="24"/>
        </w:rPr>
      </w:pPr>
      <w:r w:rsidRPr="005603B6">
        <w:rPr>
          <w:sz w:val="24"/>
          <w:szCs w:val="24"/>
        </w:rPr>
        <w:t xml:space="preserve">The </w:t>
      </w:r>
      <w:proofErr w:type="spellStart"/>
      <w:r w:rsidRPr="005603B6">
        <w:rPr>
          <w:sz w:val="24"/>
          <w:szCs w:val="24"/>
        </w:rPr>
        <w:t>SRP</w:t>
      </w:r>
      <w:proofErr w:type="spellEnd"/>
      <w:r w:rsidRPr="005603B6">
        <w:rPr>
          <w:sz w:val="24"/>
          <w:szCs w:val="24"/>
        </w:rPr>
        <w:t xml:space="preserve"> </w:t>
      </w:r>
      <w:proofErr w:type="spellStart"/>
      <w:r w:rsidRPr="005603B6">
        <w:rPr>
          <w:sz w:val="24"/>
          <w:szCs w:val="24"/>
        </w:rPr>
        <w:t>MARAC</w:t>
      </w:r>
      <w:proofErr w:type="spellEnd"/>
      <w:r w:rsidRPr="005603B6">
        <w:rPr>
          <w:sz w:val="24"/>
          <w:szCs w:val="24"/>
        </w:rPr>
        <w:t xml:space="preserve"> Protocol and near miss protocol should be updated and explicitly state the need to share information where there is an indication of serious injury and professional judgement indicates this should be assessed as high risk should be referred to </w:t>
      </w:r>
      <w:proofErr w:type="spellStart"/>
      <w:r w:rsidRPr="005603B6">
        <w:rPr>
          <w:sz w:val="24"/>
          <w:szCs w:val="24"/>
        </w:rPr>
        <w:t>MARAC</w:t>
      </w:r>
      <w:proofErr w:type="spellEnd"/>
      <w:r w:rsidRPr="005603B6">
        <w:rPr>
          <w:sz w:val="24"/>
          <w:szCs w:val="24"/>
        </w:rPr>
        <w:t xml:space="preserve"> and </w:t>
      </w:r>
      <w:proofErr w:type="spellStart"/>
      <w:r w:rsidRPr="005603B6">
        <w:rPr>
          <w:sz w:val="24"/>
          <w:szCs w:val="24"/>
        </w:rPr>
        <w:t>IDVA</w:t>
      </w:r>
      <w:proofErr w:type="spellEnd"/>
      <w:r w:rsidRPr="005603B6">
        <w:rPr>
          <w:sz w:val="24"/>
          <w:szCs w:val="24"/>
        </w:rPr>
        <w:t xml:space="preserve"> without delay.</w:t>
      </w:r>
    </w:p>
    <w:p w:rsidR="005603B6" w:rsidRPr="005603B6" w:rsidRDefault="005603B6" w:rsidP="005603B6">
      <w:pPr>
        <w:pStyle w:val="ListParagraph"/>
        <w:rPr>
          <w:sz w:val="24"/>
          <w:szCs w:val="24"/>
        </w:rPr>
      </w:pPr>
    </w:p>
    <w:p w:rsidR="00A74495" w:rsidRDefault="00A74495" w:rsidP="00A74495">
      <w:pPr>
        <w:pStyle w:val="ListParagraph"/>
        <w:numPr>
          <w:ilvl w:val="0"/>
          <w:numId w:val="9"/>
        </w:numPr>
        <w:jc w:val="both"/>
        <w:rPr>
          <w:sz w:val="24"/>
          <w:szCs w:val="24"/>
        </w:rPr>
      </w:pPr>
      <w:r w:rsidRPr="00A74495">
        <w:rPr>
          <w:sz w:val="24"/>
          <w:szCs w:val="24"/>
        </w:rPr>
        <w:t>In the absence of national guidance, the Safer Rotherham Partnership should develop a local protocol to ensure life threatening injuries caused by other means</w:t>
      </w:r>
      <w:r w:rsidRPr="00A74495" w:rsidDel="00D513F8">
        <w:rPr>
          <w:sz w:val="24"/>
          <w:szCs w:val="24"/>
        </w:rPr>
        <w:t xml:space="preserve"> </w:t>
      </w:r>
      <w:r w:rsidRPr="00A74495">
        <w:rPr>
          <w:sz w:val="24"/>
          <w:szCs w:val="24"/>
        </w:rPr>
        <w:t>are identified and highlighted appropriately.</w:t>
      </w:r>
    </w:p>
    <w:p w:rsidR="00A74495" w:rsidRPr="00A74495" w:rsidRDefault="00A74495" w:rsidP="00A74495">
      <w:pPr>
        <w:pStyle w:val="ListParagraph"/>
        <w:rPr>
          <w:sz w:val="24"/>
          <w:szCs w:val="24"/>
        </w:rPr>
      </w:pPr>
    </w:p>
    <w:p w:rsidR="00A74495" w:rsidRDefault="005F25DF" w:rsidP="00A74495">
      <w:pPr>
        <w:pStyle w:val="ListParagraph"/>
        <w:numPr>
          <w:ilvl w:val="0"/>
          <w:numId w:val="9"/>
        </w:numPr>
        <w:jc w:val="both"/>
        <w:rPr>
          <w:sz w:val="24"/>
          <w:szCs w:val="24"/>
        </w:rPr>
      </w:pPr>
      <w:proofErr w:type="spellStart"/>
      <w:r w:rsidRPr="005F25DF">
        <w:rPr>
          <w:sz w:val="24"/>
          <w:szCs w:val="24"/>
        </w:rPr>
        <w:t>IMR</w:t>
      </w:r>
      <w:proofErr w:type="spellEnd"/>
      <w:r w:rsidRPr="005F25DF">
        <w:rPr>
          <w:sz w:val="24"/>
          <w:szCs w:val="24"/>
        </w:rPr>
        <w:t xml:space="preserve"> author training should be provided to all agencies within the Safer Rotherham Partnership and to 3</w:t>
      </w:r>
      <w:r w:rsidRPr="005F25DF">
        <w:rPr>
          <w:sz w:val="24"/>
          <w:szCs w:val="24"/>
          <w:vertAlign w:val="superscript"/>
        </w:rPr>
        <w:t>rd</w:t>
      </w:r>
      <w:r w:rsidRPr="005F25DF">
        <w:rPr>
          <w:sz w:val="24"/>
          <w:szCs w:val="24"/>
        </w:rPr>
        <w:t xml:space="preserve"> sector organisations. The training should include critical analysis as a key component.</w:t>
      </w:r>
    </w:p>
    <w:p w:rsidR="005F25DF" w:rsidRPr="005F25DF" w:rsidRDefault="005F25DF" w:rsidP="005F25DF">
      <w:pPr>
        <w:pStyle w:val="ListParagraph"/>
        <w:rPr>
          <w:sz w:val="24"/>
          <w:szCs w:val="24"/>
        </w:rPr>
      </w:pPr>
    </w:p>
    <w:p w:rsidR="005F25DF" w:rsidRDefault="005F25DF" w:rsidP="005F25DF">
      <w:pPr>
        <w:pStyle w:val="ListParagraph"/>
        <w:numPr>
          <w:ilvl w:val="0"/>
          <w:numId w:val="9"/>
        </w:numPr>
        <w:jc w:val="both"/>
        <w:rPr>
          <w:sz w:val="24"/>
          <w:szCs w:val="24"/>
        </w:rPr>
      </w:pPr>
      <w:proofErr w:type="spellStart"/>
      <w:r w:rsidRPr="005F25DF">
        <w:rPr>
          <w:sz w:val="24"/>
          <w:szCs w:val="24"/>
        </w:rPr>
        <w:t>DAPG</w:t>
      </w:r>
      <w:proofErr w:type="spellEnd"/>
      <w:r w:rsidRPr="005F25DF">
        <w:rPr>
          <w:sz w:val="24"/>
          <w:szCs w:val="24"/>
        </w:rPr>
        <w:t xml:space="preserve"> should continue to pursue the development of a performance management framework.</w:t>
      </w:r>
    </w:p>
    <w:p w:rsidR="005F25DF" w:rsidRPr="005F25DF" w:rsidRDefault="005F25DF" w:rsidP="005F25DF">
      <w:pPr>
        <w:pStyle w:val="ListParagraph"/>
        <w:rPr>
          <w:sz w:val="24"/>
          <w:szCs w:val="24"/>
        </w:rPr>
      </w:pPr>
    </w:p>
    <w:p w:rsidR="005F25DF" w:rsidRDefault="005F25DF" w:rsidP="005F25DF">
      <w:pPr>
        <w:pStyle w:val="ListParagraph"/>
        <w:numPr>
          <w:ilvl w:val="0"/>
          <w:numId w:val="9"/>
        </w:numPr>
        <w:jc w:val="both"/>
        <w:rPr>
          <w:sz w:val="24"/>
          <w:szCs w:val="24"/>
        </w:rPr>
      </w:pPr>
      <w:r w:rsidRPr="005F25DF">
        <w:rPr>
          <w:sz w:val="24"/>
          <w:szCs w:val="24"/>
        </w:rPr>
        <w:t>The Health and Well Being Board should commission a scrutiny review of domestic abuse support provision by cabinet members.</w:t>
      </w:r>
    </w:p>
    <w:p w:rsidR="005F25DF" w:rsidRPr="005F25DF" w:rsidRDefault="005F25DF" w:rsidP="005F25DF">
      <w:pPr>
        <w:pStyle w:val="ListParagraph"/>
        <w:rPr>
          <w:sz w:val="24"/>
          <w:szCs w:val="24"/>
        </w:rPr>
      </w:pPr>
    </w:p>
    <w:p w:rsidR="002E7290" w:rsidRDefault="002E7290" w:rsidP="002E7290">
      <w:pPr>
        <w:pStyle w:val="ListParagraph"/>
        <w:numPr>
          <w:ilvl w:val="0"/>
          <w:numId w:val="9"/>
        </w:numPr>
        <w:jc w:val="both"/>
        <w:rPr>
          <w:sz w:val="24"/>
          <w:szCs w:val="24"/>
        </w:rPr>
      </w:pPr>
      <w:r w:rsidRPr="002E7290">
        <w:rPr>
          <w:sz w:val="24"/>
          <w:szCs w:val="24"/>
        </w:rPr>
        <w:t>Inevitably, when organisations differ on the identification, assessment and level of service provided there is a greater chance that potential victims and perpetrators will be overlooked and opportunities to intervene will be missed. There should be a standardisation within the Safer Rotherham Partnership of risk assessment processes including risk assessment tools.</w:t>
      </w:r>
    </w:p>
    <w:p w:rsidR="002E7290" w:rsidRPr="002E7290" w:rsidRDefault="002E7290" w:rsidP="002E7290">
      <w:pPr>
        <w:pStyle w:val="ListParagraph"/>
        <w:rPr>
          <w:sz w:val="24"/>
          <w:szCs w:val="24"/>
        </w:rPr>
      </w:pPr>
    </w:p>
    <w:p w:rsidR="002E7290" w:rsidRDefault="002E7290" w:rsidP="002E7290">
      <w:pPr>
        <w:pStyle w:val="ListParagraph"/>
        <w:numPr>
          <w:ilvl w:val="0"/>
          <w:numId w:val="9"/>
        </w:numPr>
        <w:jc w:val="both"/>
        <w:rPr>
          <w:sz w:val="24"/>
          <w:szCs w:val="24"/>
        </w:rPr>
      </w:pPr>
      <w:r w:rsidRPr="002E7290">
        <w:rPr>
          <w:sz w:val="24"/>
          <w:szCs w:val="24"/>
        </w:rPr>
        <w:t xml:space="preserve">Domestic Abuse training for all agencies within the Safer Rotherham Partnership should include what to do in the event of negative disclosure and that further information re Domestic Abuse is available to all staff via its </w:t>
      </w:r>
      <w:r w:rsidRPr="002E7290">
        <w:rPr>
          <w:sz w:val="24"/>
          <w:szCs w:val="24"/>
        </w:rPr>
        <w:lastRenderedPageBreak/>
        <w:t>website.</w:t>
      </w:r>
    </w:p>
    <w:p w:rsidR="006A04E4" w:rsidRPr="006A04E4" w:rsidRDefault="006A04E4" w:rsidP="006A04E4">
      <w:pPr>
        <w:pStyle w:val="ListParagraph"/>
        <w:rPr>
          <w:sz w:val="24"/>
          <w:szCs w:val="24"/>
        </w:rPr>
      </w:pPr>
    </w:p>
    <w:p w:rsidR="006A04E4" w:rsidRPr="006A04E4" w:rsidRDefault="006A04E4" w:rsidP="006A04E4">
      <w:pPr>
        <w:jc w:val="both"/>
        <w:rPr>
          <w:b/>
          <w:sz w:val="24"/>
          <w:szCs w:val="24"/>
          <w:u w:val="single"/>
        </w:rPr>
      </w:pPr>
      <w:r w:rsidRPr="006A04E4">
        <w:rPr>
          <w:b/>
          <w:sz w:val="24"/>
          <w:szCs w:val="24"/>
          <w:u w:val="single"/>
        </w:rPr>
        <w:t>Individual Agency</w:t>
      </w:r>
    </w:p>
    <w:p w:rsidR="006A04E4" w:rsidRDefault="006A04E4" w:rsidP="006A04E4">
      <w:pPr>
        <w:jc w:val="both"/>
        <w:rPr>
          <w:sz w:val="24"/>
          <w:szCs w:val="24"/>
        </w:rPr>
      </w:pPr>
    </w:p>
    <w:p w:rsidR="006A04E4" w:rsidRDefault="006A04E4" w:rsidP="006A04E4">
      <w:pPr>
        <w:pStyle w:val="ListParagraph"/>
        <w:numPr>
          <w:ilvl w:val="0"/>
          <w:numId w:val="10"/>
        </w:numPr>
        <w:jc w:val="both"/>
      </w:pPr>
      <w:r w:rsidRPr="006A04E4">
        <w:rPr>
          <w:sz w:val="24"/>
          <w:szCs w:val="24"/>
        </w:rPr>
        <w:t>South Yorkshire Police should review their assessment process and provide further training and/or awareness for staff</w:t>
      </w:r>
      <w:r w:rsidRPr="0011735A">
        <w:t>.</w:t>
      </w:r>
    </w:p>
    <w:p w:rsidR="006A04E4" w:rsidRDefault="006A04E4" w:rsidP="006A04E4">
      <w:pPr>
        <w:jc w:val="both"/>
      </w:pPr>
    </w:p>
    <w:p w:rsidR="006A04E4" w:rsidRDefault="006A04E4" w:rsidP="006A04E4">
      <w:pPr>
        <w:pStyle w:val="ListParagraph"/>
        <w:numPr>
          <w:ilvl w:val="0"/>
          <w:numId w:val="10"/>
        </w:numPr>
        <w:tabs>
          <w:tab w:val="left" w:pos="851"/>
        </w:tabs>
        <w:jc w:val="both"/>
        <w:rPr>
          <w:sz w:val="24"/>
          <w:szCs w:val="24"/>
        </w:rPr>
      </w:pPr>
      <w:r w:rsidRPr="006A04E4">
        <w:rPr>
          <w:sz w:val="24"/>
          <w:szCs w:val="24"/>
        </w:rPr>
        <w:t>Domestic Abuse training for the Rotherham NHS Foundation Trust should include what to do in the event of negative disclosure and that further information re Domestic Abuse is available to all Trust staff via its website.</w:t>
      </w:r>
    </w:p>
    <w:p w:rsidR="006A04E4" w:rsidRPr="006A04E4" w:rsidRDefault="006A04E4" w:rsidP="006A04E4">
      <w:pPr>
        <w:pStyle w:val="ListParagraph"/>
        <w:rPr>
          <w:sz w:val="24"/>
          <w:szCs w:val="24"/>
        </w:rPr>
      </w:pPr>
    </w:p>
    <w:p w:rsidR="006A04E4" w:rsidRDefault="006A04E4" w:rsidP="006A04E4">
      <w:pPr>
        <w:pStyle w:val="ListParagraph"/>
        <w:numPr>
          <w:ilvl w:val="0"/>
          <w:numId w:val="10"/>
        </w:numPr>
        <w:jc w:val="both"/>
        <w:rPr>
          <w:sz w:val="24"/>
          <w:szCs w:val="24"/>
        </w:rPr>
      </w:pPr>
      <w:r w:rsidRPr="006A04E4">
        <w:rPr>
          <w:sz w:val="24"/>
          <w:szCs w:val="24"/>
        </w:rPr>
        <w:t xml:space="preserve">The Trust’s training programme for Band 6 and above </w:t>
      </w:r>
      <w:proofErr w:type="spellStart"/>
      <w:r w:rsidRPr="006A04E4">
        <w:rPr>
          <w:sz w:val="24"/>
          <w:szCs w:val="24"/>
        </w:rPr>
        <w:t>A&amp;E</w:t>
      </w:r>
      <w:proofErr w:type="spellEnd"/>
      <w:r w:rsidRPr="006A04E4">
        <w:rPr>
          <w:sz w:val="24"/>
          <w:szCs w:val="24"/>
        </w:rPr>
        <w:t xml:space="preserve"> staff in undertaking DASH risk assessments should be completed.</w:t>
      </w:r>
    </w:p>
    <w:p w:rsidR="006A04E4" w:rsidRPr="006A04E4" w:rsidRDefault="006A04E4" w:rsidP="006A04E4">
      <w:pPr>
        <w:pStyle w:val="ListParagraph"/>
        <w:rPr>
          <w:sz w:val="24"/>
          <w:szCs w:val="24"/>
        </w:rPr>
      </w:pPr>
    </w:p>
    <w:p w:rsidR="006A04E4" w:rsidRPr="006A04E4" w:rsidRDefault="006A04E4" w:rsidP="006A04E4">
      <w:pPr>
        <w:pStyle w:val="ListParagraph"/>
        <w:numPr>
          <w:ilvl w:val="0"/>
          <w:numId w:val="10"/>
        </w:numPr>
        <w:jc w:val="both"/>
        <w:rPr>
          <w:sz w:val="24"/>
          <w:szCs w:val="24"/>
        </w:rPr>
      </w:pPr>
      <w:r w:rsidRPr="006A04E4">
        <w:rPr>
          <w:sz w:val="24"/>
          <w:szCs w:val="24"/>
        </w:rPr>
        <w:t xml:space="preserve">The Trust should give active support to </w:t>
      </w:r>
      <w:proofErr w:type="spellStart"/>
      <w:r w:rsidRPr="006A04E4">
        <w:rPr>
          <w:sz w:val="24"/>
          <w:szCs w:val="24"/>
        </w:rPr>
        <w:t>A&amp;E</w:t>
      </w:r>
      <w:proofErr w:type="spellEnd"/>
      <w:r w:rsidRPr="006A04E4">
        <w:rPr>
          <w:sz w:val="24"/>
          <w:szCs w:val="24"/>
        </w:rPr>
        <w:t xml:space="preserve"> staff undertaking DASH risk assessments and their domestic abuse policy should be revised to reflect negative disclosure.</w:t>
      </w:r>
    </w:p>
    <w:p w:rsidR="006A04E4" w:rsidRPr="006A04E4" w:rsidRDefault="006A04E4" w:rsidP="006A04E4">
      <w:pPr>
        <w:tabs>
          <w:tab w:val="left" w:pos="851"/>
        </w:tabs>
        <w:jc w:val="both"/>
        <w:rPr>
          <w:sz w:val="24"/>
          <w:szCs w:val="24"/>
        </w:rPr>
      </w:pPr>
    </w:p>
    <w:p w:rsidR="006A04E4" w:rsidRDefault="006A04E4" w:rsidP="006A04E4">
      <w:pPr>
        <w:jc w:val="both"/>
      </w:pPr>
    </w:p>
    <w:p w:rsidR="006A04E4" w:rsidRPr="006A04E4" w:rsidRDefault="006A04E4" w:rsidP="006A04E4">
      <w:pPr>
        <w:jc w:val="both"/>
        <w:rPr>
          <w:sz w:val="24"/>
          <w:szCs w:val="24"/>
        </w:rPr>
      </w:pPr>
    </w:p>
    <w:p w:rsidR="002E7290" w:rsidRPr="002E7290" w:rsidRDefault="002E7290" w:rsidP="002E7290">
      <w:pPr>
        <w:jc w:val="both"/>
        <w:rPr>
          <w:sz w:val="24"/>
          <w:szCs w:val="24"/>
        </w:rPr>
      </w:pPr>
    </w:p>
    <w:p w:rsidR="005F25DF" w:rsidRPr="002E7290" w:rsidRDefault="005F25DF" w:rsidP="002E7290">
      <w:pPr>
        <w:jc w:val="both"/>
        <w:rPr>
          <w:sz w:val="24"/>
          <w:szCs w:val="24"/>
        </w:rPr>
      </w:pPr>
    </w:p>
    <w:p w:rsidR="005F25DF" w:rsidRPr="005F25DF" w:rsidRDefault="005F25DF" w:rsidP="005F25DF">
      <w:pPr>
        <w:jc w:val="both"/>
        <w:rPr>
          <w:sz w:val="24"/>
          <w:szCs w:val="24"/>
        </w:rPr>
      </w:pPr>
    </w:p>
    <w:p w:rsidR="005F25DF" w:rsidRPr="005F25DF" w:rsidRDefault="005F25DF" w:rsidP="005F25DF">
      <w:pPr>
        <w:jc w:val="both"/>
        <w:rPr>
          <w:sz w:val="24"/>
          <w:szCs w:val="24"/>
        </w:rPr>
      </w:pPr>
    </w:p>
    <w:p w:rsidR="005603B6" w:rsidRPr="00A74495" w:rsidRDefault="005603B6" w:rsidP="00A74495">
      <w:pPr>
        <w:jc w:val="both"/>
        <w:rPr>
          <w:sz w:val="24"/>
          <w:szCs w:val="24"/>
        </w:rPr>
      </w:pPr>
    </w:p>
    <w:p w:rsidR="005603B6" w:rsidRPr="005603B6" w:rsidRDefault="005603B6" w:rsidP="005603B6">
      <w:pPr>
        <w:jc w:val="both"/>
        <w:rPr>
          <w:sz w:val="24"/>
          <w:szCs w:val="24"/>
        </w:rPr>
      </w:pPr>
    </w:p>
    <w:sectPr w:rsidR="005603B6" w:rsidRPr="005603B6" w:rsidSect="00662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Gothic-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598"/>
    <w:multiLevelType w:val="hybridMultilevel"/>
    <w:tmpl w:val="82F2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C84303"/>
    <w:multiLevelType w:val="hybridMultilevel"/>
    <w:tmpl w:val="DF0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2C214A"/>
    <w:multiLevelType w:val="hybridMultilevel"/>
    <w:tmpl w:val="FC142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24713F1"/>
    <w:multiLevelType w:val="hybridMultilevel"/>
    <w:tmpl w:val="4D646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A1C7807"/>
    <w:multiLevelType w:val="hybridMultilevel"/>
    <w:tmpl w:val="9900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97325E"/>
    <w:multiLevelType w:val="hybridMultilevel"/>
    <w:tmpl w:val="FD9C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D35591"/>
    <w:multiLevelType w:val="hybridMultilevel"/>
    <w:tmpl w:val="B2782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30B71CE"/>
    <w:multiLevelType w:val="hybridMultilevel"/>
    <w:tmpl w:val="54A48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8D92D80"/>
    <w:multiLevelType w:val="hybridMultilevel"/>
    <w:tmpl w:val="A284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145D8D"/>
    <w:multiLevelType w:val="hybridMultilevel"/>
    <w:tmpl w:val="8F26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3"/>
  </w:num>
  <w:num w:numId="6">
    <w:abstractNumId w:val="1"/>
  </w:num>
  <w:num w:numId="7">
    <w:abstractNumId w:val="4"/>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9"/>
  <w:drawingGridVerticalSpacing w:val="1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F3"/>
    <w:rsid w:val="00002770"/>
    <w:rsid w:val="000044A8"/>
    <w:rsid w:val="000B5BAD"/>
    <w:rsid w:val="000D56AE"/>
    <w:rsid w:val="001635F5"/>
    <w:rsid w:val="00172C71"/>
    <w:rsid w:val="001A69E2"/>
    <w:rsid w:val="001E1B9E"/>
    <w:rsid w:val="001E2297"/>
    <w:rsid w:val="001E321F"/>
    <w:rsid w:val="001F3393"/>
    <w:rsid w:val="00206950"/>
    <w:rsid w:val="0020774B"/>
    <w:rsid w:val="00272A60"/>
    <w:rsid w:val="00273158"/>
    <w:rsid w:val="002B25E3"/>
    <w:rsid w:val="002C0E8D"/>
    <w:rsid w:val="002E6C5E"/>
    <w:rsid w:val="002E7290"/>
    <w:rsid w:val="00306D0A"/>
    <w:rsid w:val="00310608"/>
    <w:rsid w:val="0032036C"/>
    <w:rsid w:val="003222BF"/>
    <w:rsid w:val="0037117D"/>
    <w:rsid w:val="00427221"/>
    <w:rsid w:val="004472A7"/>
    <w:rsid w:val="00492C38"/>
    <w:rsid w:val="004C4524"/>
    <w:rsid w:val="004F3464"/>
    <w:rsid w:val="004F7A49"/>
    <w:rsid w:val="00514C71"/>
    <w:rsid w:val="00541626"/>
    <w:rsid w:val="005603B6"/>
    <w:rsid w:val="00575A16"/>
    <w:rsid w:val="005826C9"/>
    <w:rsid w:val="0059398F"/>
    <w:rsid w:val="005B4099"/>
    <w:rsid w:val="005E50B7"/>
    <w:rsid w:val="005F25DF"/>
    <w:rsid w:val="00622AD7"/>
    <w:rsid w:val="00641963"/>
    <w:rsid w:val="00656E49"/>
    <w:rsid w:val="00661B3C"/>
    <w:rsid w:val="00662628"/>
    <w:rsid w:val="00691DE1"/>
    <w:rsid w:val="0069444E"/>
    <w:rsid w:val="006A04E4"/>
    <w:rsid w:val="006A44CA"/>
    <w:rsid w:val="006D4343"/>
    <w:rsid w:val="007B20CD"/>
    <w:rsid w:val="007D6683"/>
    <w:rsid w:val="007E5DF1"/>
    <w:rsid w:val="008219BE"/>
    <w:rsid w:val="0082708F"/>
    <w:rsid w:val="00840D56"/>
    <w:rsid w:val="0085081B"/>
    <w:rsid w:val="008706C9"/>
    <w:rsid w:val="008F5608"/>
    <w:rsid w:val="0094696B"/>
    <w:rsid w:val="0095008D"/>
    <w:rsid w:val="00963ABF"/>
    <w:rsid w:val="0099216E"/>
    <w:rsid w:val="009979B7"/>
    <w:rsid w:val="009B17C9"/>
    <w:rsid w:val="009C3FBF"/>
    <w:rsid w:val="009D2B3F"/>
    <w:rsid w:val="00A01164"/>
    <w:rsid w:val="00A23F1E"/>
    <w:rsid w:val="00A31F58"/>
    <w:rsid w:val="00A3281D"/>
    <w:rsid w:val="00A3617B"/>
    <w:rsid w:val="00A74495"/>
    <w:rsid w:val="00A83DA0"/>
    <w:rsid w:val="00A93DEB"/>
    <w:rsid w:val="00AD7E09"/>
    <w:rsid w:val="00AF040B"/>
    <w:rsid w:val="00B74E69"/>
    <w:rsid w:val="00BC07DE"/>
    <w:rsid w:val="00C036DD"/>
    <w:rsid w:val="00C404C4"/>
    <w:rsid w:val="00CD2C00"/>
    <w:rsid w:val="00D04BCB"/>
    <w:rsid w:val="00D05AAB"/>
    <w:rsid w:val="00D402F3"/>
    <w:rsid w:val="00D93332"/>
    <w:rsid w:val="00DB634F"/>
    <w:rsid w:val="00DB6655"/>
    <w:rsid w:val="00DE50A3"/>
    <w:rsid w:val="00E11D16"/>
    <w:rsid w:val="00E2466E"/>
    <w:rsid w:val="00E80465"/>
    <w:rsid w:val="00E8676A"/>
    <w:rsid w:val="00E969BD"/>
    <w:rsid w:val="00EC1726"/>
    <w:rsid w:val="00EF4167"/>
    <w:rsid w:val="00F05CD2"/>
    <w:rsid w:val="00F34E24"/>
    <w:rsid w:val="00F524E1"/>
    <w:rsid w:val="00F732A7"/>
    <w:rsid w:val="00F830A7"/>
    <w:rsid w:val="00F849BC"/>
    <w:rsid w:val="00FD1383"/>
    <w:rsid w:val="00FD6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A3"/>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qFormat/>
    <w:rsid w:val="00DE50A3"/>
    <w:pPr>
      <w:keepNext/>
      <w:shd w:val="clear" w:color="auto" w:fill="FFFFFF"/>
      <w:spacing w:before="403"/>
      <w:ind w:left="19"/>
      <w:outlineLvl w:val="0"/>
    </w:pPr>
    <w:rPr>
      <w:rFonts w:ascii="Comic Sans MS" w:hAnsi="Comic Sans MS"/>
      <w:b/>
      <w:bCs/>
      <w:sz w:val="32"/>
      <w:szCs w:val="32"/>
    </w:rPr>
  </w:style>
  <w:style w:type="paragraph" w:styleId="Heading2">
    <w:name w:val="heading 2"/>
    <w:basedOn w:val="Normal"/>
    <w:next w:val="Normal"/>
    <w:link w:val="Heading2Char"/>
    <w:qFormat/>
    <w:rsid w:val="00DE50A3"/>
    <w:pPr>
      <w:keepNext/>
      <w:spacing w:before="240" w:after="60"/>
      <w:outlineLvl w:val="1"/>
    </w:pPr>
    <w:rPr>
      <w:b/>
      <w:bCs/>
      <w:i/>
      <w:iCs/>
      <w:sz w:val="28"/>
      <w:szCs w:val="28"/>
    </w:rPr>
  </w:style>
  <w:style w:type="paragraph" w:styleId="Heading5">
    <w:name w:val="heading 5"/>
    <w:basedOn w:val="Normal"/>
    <w:next w:val="Normal"/>
    <w:link w:val="Heading5Char"/>
    <w:qFormat/>
    <w:rsid w:val="00DE50A3"/>
    <w:pPr>
      <w:spacing w:before="240" w:after="60"/>
      <w:outlineLvl w:val="4"/>
    </w:pPr>
    <w:rPr>
      <w:b/>
      <w:bCs/>
      <w:i/>
      <w:iCs/>
      <w:sz w:val="26"/>
      <w:szCs w:val="26"/>
    </w:rPr>
  </w:style>
  <w:style w:type="paragraph" w:styleId="Heading6">
    <w:name w:val="heading 6"/>
    <w:basedOn w:val="Normal"/>
    <w:next w:val="Normal"/>
    <w:link w:val="Heading6Char"/>
    <w:qFormat/>
    <w:rsid w:val="00DE50A3"/>
    <w:pPr>
      <w:keepNext/>
      <w:shd w:val="clear" w:color="auto" w:fill="FFFFFF"/>
      <w:spacing w:before="427"/>
      <w:ind w:left="14"/>
      <w:outlineLvl w:val="5"/>
    </w:pPr>
    <w:rPr>
      <w:rFonts w:ascii="Comic Sans MS" w:hAnsi="Comic Sans MS"/>
      <w:b/>
      <w:bCs/>
      <w:spacing w:val="-11"/>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0A3"/>
    <w:rPr>
      <w:rFonts w:ascii="Comic Sans MS" w:hAnsi="Comic Sans MS" w:cs="Arial"/>
      <w:b/>
      <w:bCs/>
      <w:sz w:val="32"/>
      <w:szCs w:val="32"/>
      <w:shd w:val="clear" w:color="auto" w:fill="FFFFFF"/>
      <w:lang w:eastAsia="en-US"/>
    </w:rPr>
  </w:style>
  <w:style w:type="character" w:customStyle="1" w:styleId="Heading2Char">
    <w:name w:val="Heading 2 Char"/>
    <w:basedOn w:val="DefaultParagraphFont"/>
    <w:link w:val="Heading2"/>
    <w:rsid w:val="00DE50A3"/>
    <w:rPr>
      <w:rFonts w:ascii="Arial" w:hAnsi="Arial" w:cs="Arial"/>
      <w:b/>
      <w:bCs/>
      <w:i/>
      <w:iCs/>
      <w:sz w:val="28"/>
      <w:szCs w:val="28"/>
      <w:lang w:val="en-US" w:eastAsia="en-US"/>
    </w:rPr>
  </w:style>
  <w:style w:type="character" w:customStyle="1" w:styleId="Heading5Char">
    <w:name w:val="Heading 5 Char"/>
    <w:basedOn w:val="DefaultParagraphFont"/>
    <w:link w:val="Heading5"/>
    <w:rsid w:val="00DE50A3"/>
    <w:rPr>
      <w:rFonts w:ascii="Arial" w:hAnsi="Arial" w:cs="Arial"/>
      <w:b/>
      <w:bCs/>
      <w:i/>
      <w:iCs/>
      <w:sz w:val="26"/>
      <w:szCs w:val="26"/>
      <w:lang w:val="en-US" w:eastAsia="en-US"/>
    </w:rPr>
  </w:style>
  <w:style w:type="character" w:customStyle="1" w:styleId="Heading6Char">
    <w:name w:val="Heading 6 Char"/>
    <w:basedOn w:val="DefaultParagraphFont"/>
    <w:link w:val="Heading6"/>
    <w:rsid w:val="00DE50A3"/>
    <w:rPr>
      <w:rFonts w:ascii="Comic Sans MS" w:hAnsi="Comic Sans MS" w:cs="Arial"/>
      <w:b/>
      <w:bCs/>
      <w:spacing w:val="-11"/>
      <w:sz w:val="32"/>
      <w:szCs w:val="30"/>
      <w:shd w:val="clear" w:color="auto" w:fill="FFFFFF"/>
      <w:lang w:eastAsia="en-US"/>
    </w:rPr>
  </w:style>
  <w:style w:type="paragraph" w:styleId="ListParagraph">
    <w:name w:val="List Paragraph"/>
    <w:basedOn w:val="Normal"/>
    <w:uiPriority w:val="34"/>
    <w:qFormat/>
    <w:rsid w:val="00D05AAB"/>
    <w:pPr>
      <w:ind w:left="720"/>
      <w:contextualSpacing/>
    </w:pPr>
  </w:style>
  <w:style w:type="paragraph" w:styleId="BalloonText">
    <w:name w:val="Balloon Text"/>
    <w:basedOn w:val="Normal"/>
    <w:link w:val="BalloonTextChar"/>
    <w:uiPriority w:val="99"/>
    <w:semiHidden/>
    <w:unhideWhenUsed/>
    <w:rsid w:val="007B20CD"/>
    <w:rPr>
      <w:rFonts w:ascii="Tahoma" w:hAnsi="Tahoma" w:cs="Tahoma"/>
      <w:sz w:val="16"/>
      <w:szCs w:val="16"/>
    </w:rPr>
  </w:style>
  <w:style w:type="character" w:customStyle="1" w:styleId="BalloonTextChar">
    <w:name w:val="Balloon Text Char"/>
    <w:basedOn w:val="DefaultParagraphFont"/>
    <w:link w:val="BalloonText"/>
    <w:uiPriority w:val="99"/>
    <w:semiHidden/>
    <w:rsid w:val="007B20CD"/>
    <w:rPr>
      <w:rFonts w:ascii="Tahoma" w:hAnsi="Tahoma" w:cs="Tahoma"/>
      <w:sz w:val="16"/>
      <w:szCs w:val="16"/>
      <w:lang w:eastAsia="en-US"/>
    </w:rPr>
  </w:style>
  <w:style w:type="paragraph" w:customStyle="1" w:styleId="Default">
    <w:name w:val="Default"/>
    <w:rsid w:val="00EF416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93DEB"/>
    <w:rPr>
      <w:rFonts w:ascii="Century Gothic" w:eastAsiaTheme="minorHAnsi" w:hAnsi="Century Gothic"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36C"/>
    <w:rPr>
      <w:sz w:val="16"/>
      <w:szCs w:val="16"/>
    </w:rPr>
  </w:style>
  <w:style w:type="paragraph" w:styleId="CommentText">
    <w:name w:val="annotation text"/>
    <w:basedOn w:val="Normal"/>
    <w:link w:val="CommentTextChar"/>
    <w:uiPriority w:val="99"/>
    <w:semiHidden/>
    <w:unhideWhenUsed/>
    <w:rsid w:val="0032036C"/>
    <w:pPr>
      <w:widowControl/>
      <w:autoSpaceDE/>
      <w:autoSpaceDN/>
      <w:adjustRightInd/>
      <w:spacing w:after="200"/>
    </w:pPr>
    <w:rPr>
      <w:rFonts w:ascii="Century Gothic" w:eastAsiaTheme="minorHAnsi" w:hAnsi="Century Gothic" w:cstheme="minorBidi"/>
    </w:rPr>
  </w:style>
  <w:style w:type="character" w:customStyle="1" w:styleId="CommentTextChar">
    <w:name w:val="Comment Text Char"/>
    <w:basedOn w:val="DefaultParagraphFont"/>
    <w:link w:val="CommentText"/>
    <w:uiPriority w:val="99"/>
    <w:semiHidden/>
    <w:rsid w:val="0032036C"/>
    <w:rPr>
      <w:rFonts w:ascii="Century Gothic" w:eastAsiaTheme="minorHAnsi" w:hAnsi="Century Gothic"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A3"/>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qFormat/>
    <w:rsid w:val="00DE50A3"/>
    <w:pPr>
      <w:keepNext/>
      <w:shd w:val="clear" w:color="auto" w:fill="FFFFFF"/>
      <w:spacing w:before="403"/>
      <w:ind w:left="19"/>
      <w:outlineLvl w:val="0"/>
    </w:pPr>
    <w:rPr>
      <w:rFonts w:ascii="Comic Sans MS" w:hAnsi="Comic Sans MS"/>
      <w:b/>
      <w:bCs/>
      <w:sz w:val="32"/>
      <w:szCs w:val="32"/>
    </w:rPr>
  </w:style>
  <w:style w:type="paragraph" w:styleId="Heading2">
    <w:name w:val="heading 2"/>
    <w:basedOn w:val="Normal"/>
    <w:next w:val="Normal"/>
    <w:link w:val="Heading2Char"/>
    <w:qFormat/>
    <w:rsid w:val="00DE50A3"/>
    <w:pPr>
      <w:keepNext/>
      <w:spacing w:before="240" w:after="60"/>
      <w:outlineLvl w:val="1"/>
    </w:pPr>
    <w:rPr>
      <w:b/>
      <w:bCs/>
      <w:i/>
      <w:iCs/>
      <w:sz w:val="28"/>
      <w:szCs w:val="28"/>
    </w:rPr>
  </w:style>
  <w:style w:type="paragraph" w:styleId="Heading5">
    <w:name w:val="heading 5"/>
    <w:basedOn w:val="Normal"/>
    <w:next w:val="Normal"/>
    <w:link w:val="Heading5Char"/>
    <w:qFormat/>
    <w:rsid w:val="00DE50A3"/>
    <w:pPr>
      <w:spacing w:before="240" w:after="60"/>
      <w:outlineLvl w:val="4"/>
    </w:pPr>
    <w:rPr>
      <w:b/>
      <w:bCs/>
      <w:i/>
      <w:iCs/>
      <w:sz w:val="26"/>
      <w:szCs w:val="26"/>
    </w:rPr>
  </w:style>
  <w:style w:type="paragraph" w:styleId="Heading6">
    <w:name w:val="heading 6"/>
    <w:basedOn w:val="Normal"/>
    <w:next w:val="Normal"/>
    <w:link w:val="Heading6Char"/>
    <w:qFormat/>
    <w:rsid w:val="00DE50A3"/>
    <w:pPr>
      <w:keepNext/>
      <w:shd w:val="clear" w:color="auto" w:fill="FFFFFF"/>
      <w:spacing w:before="427"/>
      <w:ind w:left="14"/>
      <w:outlineLvl w:val="5"/>
    </w:pPr>
    <w:rPr>
      <w:rFonts w:ascii="Comic Sans MS" w:hAnsi="Comic Sans MS"/>
      <w:b/>
      <w:bCs/>
      <w:spacing w:val="-11"/>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0A3"/>
    <w:rPr>
      <w:rFonts w:ascii="Comic Sans MS" w:hAnsi="Comic Sans MS" w:cs="Arial"/>
      <w:b/>
      <w:bCs/>
      <w:sz w:val="32"/>
      <w:szCs w:val="32"/>
      <w:shd w:val="clear" w:color="auto" w:fill="FFFFFF"/>
      <w:lang w:eastAsia="en-US"/>
    </w:rPr>
  </w:style>
  <w:style w:type="character" w:customStyle="1" w:styleId="Heading2Char">
    <w:name w:val="Heading 2 Char"/>
    <w:basedOn w:val="DefaultParagraphFont"/>
    <w:link w:val="Heading2"/>
    <w:rsid w:val="00DE50A3"/>
    <w:rPr>
      <w:rFonts w:ascii="Arial" w:hAnsi="Arial" w:cs="Arial"/>
      <w:b/>
      <w:bCs/>
      <w:i/>
      <w:iCs/>
      <w:sz w:val="28"/>
      <w:szCs w:val="28"/>
      <w:lang w:val="en-US" w:eastAsia="en-US"/>
    </w:rPr>
  </w:style>
  <w:style w:type="character" w:customStyle="1" w:styleId="Heading5Char">
    <w:name w:val="Heading 5 Char"/>
    <w:basedOn w:val="DefaultParagraphFont"/>
    <w:link w:val="Heading5"/>
    <w:rsid w:val="00DE50A3"/>
    <w:rPr>
      <w:rFonts w:ascii="Arial" w:hAnsi="Arial" w:cs="Arial"/>
      <w:b/>
      <w:bCs/>
      <w:i/>
      <w:iCs/>
      <w:sz w:val="26"/>
      <w:szCs w:val="26"/>
      <w:lang w:val="en-US" w:eastAsia="en-US"/>
    </w:rPr>
  </w:style>
  <w:style w:type="character" w:customStyle="1" w:styleId="Heading6Char">
    <w:name w:val="Heading 6 Char"/>
    <w:basedOn w:val="DefaultParagraphFont"/>
    <w:link w:val="Heading6"/>
    <w:rsid w:val="00DE50A3"/>
    <w:rPr>
      <w:rFonts w:ascii="Comic Sans MS" w:hAnsi="Comic Sans MS" w:cs="Arial"/>
      <w:b/>
      <w:bCs/>
      <w:spacing w:val="-11"/>
      <w:sz w:val="32"/>
      <w:szCs w:val="30"/>
      <w:shd w:val="clear" w:color="auto" w:fill="FFFFFF"/>
      <w:lang w:eastAsia="en-US"/>
    </w:rPr>
  </w:style>
  <w:style w:type="paragraph" w:styleId="ListParagraph">
    <w:name w:val="List Paragraph"/>
    <w:basedOn w:val="Normal"/>
    <w:uiPriority w:val="34"/>
    <w:qFormat/>
    <w:rsid w:val="00D05AAB"/>
    <w:pPr>
      <w:ind w:left="720"/>
      <w:contextualSpacing/>
    </w:pPr>
  </w:style>
  <w:style w:type="paragraph" w:styleId="BalloonText">
    <w:name w:val="Balloon Text"/>
    <w:basedOn w:val="Normal"/>
    <w:link w:val="BalloonTextChar"/>
    <w:uiPriority w:val="99"/>
    <w:semiHidden/>
    <w:unhideWhenUsed/>
    <w:rsid w:val="007B20CD"/>
    <w:rPr>
      <w:rFonts w:ascii="Tahoma" w:hAnsi="Tahoma" w:cs="Tahoma"/>
      <w:sz w:val="16"/>
      <w:szCs w:val="16"/>
    </w:rPr>
  </w:style>
  <w:style w:type="character" w:customStyle="1" w:styleId="BalloonTextChar">
    <w:name w:val="Balloon Text Char"/>
    <w:basedOn w:val="DefaultParagraphFont"/>
    <w:link w:val="BalloonText"/>
    <w:uiPriority w:val="99"/>
    <w:semiHidden/>
    <w:rsid w:val="007B20CD"/>
    <w:rPr>
      <w:rFonts w:ascii="Tahoma" w:hAnsi="Tahoma" w:cs="Tahoma"/>
      <w:sz w:val="16"/>
      <w:szCs w:val="16"/>
      <w:lang w:eastAsia="en-US"/>
    </w:rPr>
  </w:style>
  <w:style w:type="paragraph" w:customStyle="1" w:styleId="Default">
    <w:name w:val="Default"/>
    <w:rsid w:val="00EF416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93DEB"/>
    <w:rPr>
      <w:rFonts w:ascii="Century Gothic" w:eastAsiaTheme="minorHAnsi" w:hAnsi="Century Gothic"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36C"/>
    <w:rPr>
      <w:sz w:val="16"/>
      <w:szCs w:val="16"/>
    </w:rPr>
  </w:style>
  <w:style w:type="paragraph" w:styleId="CommentText">
    <w:name w:val="annotation text"/>
    <w:basedOn w:val="Normal"/>
    <w:link w:val="CommentTextChar"/>
    <w:uiPriority w:val="99"/>
    <w:semiHidden/>
    <w:unhideWhenUsed/>
    <w:rsid w:val="0032036C"/>
    <w:pPr>
      <w:widowControl/>
      <w:autoSpaceDE/>
      <w:autoSpaceDN/>
      <w:adjustRightInd/>
      <w:spacing w:after="200"/>
    </w:pPr>
    <w:rPr>
      <w:rFonts w:ascii="Century Gothic" w:eastAsiaTheme="minorHAnsi" w:hAnsi="Century Gothic" w:cstheme="minorBidi"/>
    </w:rPr>
  </w:style>
  <w:style w:type="character" w:customStyle="1" w:styleId="CommentTextChar">
    <w:name w:val="Comment Text Char"/>
    <w:basedOn w:val="DefaultParagraphFont"/>
    <w:link w:val="CommentText"/>
    <w:uiPriority w:val="99"/>
    <w:semiHidden/>
    <w:rsid w:val="0032036C"/>
    <w:rPr>
      <w:rFonts w:ascii="Century Gothic" w:eastAsiaTheme="minorHAnsi" w:hAnsi="Century Gothic"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Stables, Lisa</cp:lastModifiedBy>
  <cp:revision>2</cp:revision>
  <dcterms:created xsi:type="dcterms:W3CDTF">2015-07-22T13:46:00Z</dcterms:created>
  <dcterms:modified xsi:type="dcterms:W3CDTF">2015-07-22T13:46:00Z</dcterms:modified>
</cp:coreProperties>
</file>